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5A80D" w14:textId="304195B3" w:rsidR="00E1632D" w:rsidRDefault="000A4A4F">
      <w:pPr>
        <w:tabs>
          <w:tab w:val="right" w:pos="10204"/>
        </w:tabs>
        <w:rPr>
          <w:rFonts w:ascii="Arial" w:eastAsia="Arial" w:hAnsi="Arial" w:cs="Arial"/>
          <w:b/>
          <w:sz w:val="28"/>
          <w:szCs w:val="28"/>
        </w:rPr>
      </w:pPr>
      <w:r>
        <w:rPr>
          <w:rFonts w:ascii="Arial" w:eastAsia="Arial" w:hAnsi="Arial" w:cs="Arial"/>
          <w:b/>
        </w:rPr>
        <w:t>3GPP TSG-RAN WG2 Meeting #116bis-e</w:t>
      </w:r>
      <w:proofErr w:type="gramStart"/>
      <w:r>
        <w:rPr>
          <w:rFonts w:ascii="Arial" w:eastAsia="Arial" w:hAnsi="Arial" w:cs="Arial"/>
          <w:b/>
          <w:i/>
          <w:sz w:val="28"/>
          <w:szCs w:val="28"/>
        </w:rPr>
        <w:tab/>
        <w:t xml:space="preserve">  </w:t>
      </w:r>
      <w:r>
        <w:rPr>
          <w:rFonts w:ascii="Arial" w:eastAsia="Arial" w:hAnsi="Arial" w:cs="Arial"/>
          <w:b/>
        </w:rPr>
        <w:t>R</w:t>
      </w:r>
      <w:proofErr w:type="gramEnd"/>
      <w:r>
        <w:rPr>
          <w:rFonts w:ascii="Arial" w:eastAsia="Arial" w:hAnsi="Arial" w:cs="Arial"/>
          <w:b/>
        </w:rPr>
        <w:t>2-22</w:t>
      </w:r>
      <w:r w:rsidR="00421ED4">
        <w:rPr>
          <w:rFonts w:ascii="Arial" w:eastAsia="Arial" w:hAnsi="Arial" w:cs="Arial"/>
          <w:b/>
        </w:rPr>
        <w:t>00723</w:t>
      </w:r>
    </w:p>
    <w:p w14:paraId="565CC1C1" w14:textId="77777777" w:rsidR="00E1632D" w:rsidRDefault="000A4A4F">
      <w:pPr>
        <w:tabs>
          <w:tab w:val="left" w:pos="1985"/>
          <w:tab w:val="left" w:pos="8931"/>
        </w:tabs>
        <w:spacing w:after="60" w:line="288" w:lineRule="auto"/>
        <w:jc w:val="both"/>
        <w:rPr>
          <w:rFonts w:ascii="Arial" w:eastAsia="Arial" w:hAnsi="Arial" w:cs="Arial"/>
          <w:b/>
        </w:rPr>
      </w:pPr>
      <w:r>
        <w:rPr>
          <w:rFonts w:ascii="Arial" w:eastAsia="Arial" w:hAnsi="Arial" w:cs="Arial"/>
          <w:b/>
        </w:rPr>
        <w:t>Online, Jan 17 – Jan 25, 2022</w:t>
      </w:r>
    </w:p>
    <w:p w14:paraId="3F81EA72" w14:textId="77777777" w:rsidR="00E1632D" w:rsidRDefault="00E1632D">
      <w:pPr>
        <w:widowControl w:val="0"/>
        <w:pBdr>
          <w:top w:val="nil"/>
          <w:left w:val="nil"/>
          <w:bottom w:val="nil"/>
          <w:right w:val="nil"/>
          <w:between w:val="nil"/>
        </w:pBdr>
        <w:tabs>
          <w:tab w:val="right" w:pos="7088"/>
          <w:tab w:val="right" w:pos="9781"/>
        </w:tabs>
        <w:rPr>
          <w:rFonts w:ascii="Arial" w:eastAsia="Arial" w:hAnsi="Arial" w:cs="Arial"/>
          <w:color w:val="000000"/>
          <w:sz w:val="22"/>
          <w:szCs w:val="22"/>
        </w:rPr>
      </w:pPr>
    </w:p>
    <w:p w14:paraId="760BEF60" w14:textId="77777777" w:rsidR="00E1632D" w:rsidRDefault="000A4A4F">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t xml:space="preserve">Discussion on Secondary DRX Enhancement </w:t>
      </w:r>
    </w:p>
    <w:p w14:paraId="42EB3F85" w14:textId="77777777" w:rsidR="00E1632D" w:rsidRDefault="000A4A4F">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LG Electronics</w:t>
      </w:r>
    </w:p>
    <w:p w14:paraId="55F09EB7" w14:textId="77777777" w:rsidR="00E1632D" w:rsidRDefault="000A4A4F">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Discussion and Decision</w:t>
      </w:r>
    </w:p>
    <w:p w14:paraId="0B05C4AD" w14:textId="77777777" w:rsidR="00E1632D" w:rsidRDefault="000A4A4F">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8.21.2.2 UP centric</w:t>
      </w:r>
    </w:p>
    <w:p w14:paraId="7756CD6D" w14:textId="77777777" w:rsidR="00E1632D" w:rsidRDefault="000A4A4F">
      <w:pPr>
        <w:spacing w:after="120"/>
        <w:ind w:left="1985" w:hanging="1985"/>
        <w:rPr>
          <w:rFonts w:ascii="Arial" w:eastAsia="Arial" w:hAnsi="Arial" w:cs="Arial"/>
          <w:b/>
        </w:rPr>
      </w:pPr>
      <w:r>
        <w:rPr>
          <w:rFonts w:ascii="Arial" w:eastAsia="Arial" w:hAnsi="Arial" w:cs="Arial"/>
          <w:b/>
        </w:rPr>
        <w:t>WID/SID</w:t>
      </w:r>
      <w:r>
        <w:rPr>
          <w:rFonts w:ascii="Arial" w:eastAsia="Arial" w:hAnsi="Arial" w:cs="Arial"/>
          <w:b/>
        </w:rPr>
        <w:tab/>
        <w:t>TEI17</w:t>
      </w:r>
    </w:p>
    <w:p w14:paraId="5813D1B9" w14:textId="77777777" w:rsidR="00E1632D" w:rsidRDefault="000A4A4F">
      <w:pPr>
        <w:pStyle w:val="Heading1"/>
        <w:tabs>
          <w:tab w:val="left" w:pos="2268"/>
        </w:tabs>
        <w:ind w:right="-99"/>
        <w:rPr>
          <w:rFonts w:ascii="Times New Roman" w:hAnsi="Times New Roman"/>
        </w:rPr>
      </w:pPr>
      <w:r>
        <w:t xml:space="preserve">1 </w:t>
      </w:r>
      <w:r>
        <w:tab/>
        <w:t>Introduction</w:t>
      </w:r>
    </w:p>
    <w:p w14:paraId="0B617B41" w14:textId="5D72F610" w:rsidR="00E1632D" w:rsidRDefault="000A4A4F">
      <w:pPr>
        <w:pBdr>
          <w:top w:val="nil"/>
          <w:left w:val="nil"/>
          <w:bottom w:val="nil"/>
          <w:right w:val="nil"/>
          <w:between w:val="nil"/>
        </w:pBdr>
        <w:spacing w:before="280" w:after="280"/>
        <w:rPr>
          <w:sz w:val="20"/>
          <w:szCs w:val="20"/>
        </w:rPr>
      </w:pPr>
      <w:r>
        <w:rPr>
          <w:rFonts w:ascii="Calibri" w:eastAsia="Calibri" w:hAnsi="Calibri" w:cs="Calibri"/>
          <w:color w:val="000000"/>
        </w:rPr>
        <w:t>﻿</w:t>
      </w:r>
      <w:r>
        <w:rPr>
          <w:color w:val="000000"/>
          <w:sz w:val="20"/>
          <w:szCs w:val="20"/>
        </w:rPr>
        <w:t>In RAN2#116, it has been proposed in R2-2111460</w:t>
      </w:r>
      <w:r w:rsidR="004312F2">
        <w:rPr>
          <w:color w:val="000000"/>
          <w:sz w:val="20"/>
          <w:szCs w:val="20"/>
        </w:rPr>
        <w:t xml:space="preserve"> [1]</w:t>
      </w:r>
      <w:r>
        <w:rPr>
          <w:color w:val="000000"/>
          <w:sz w:val="20"/>
          <w:szCs w:val="20"/>
        </w:rPr>
        <w:t xml:space="preserve"> to wake up the other DRX group using SCell Activation MAC CE by starting </w:t>
      </w:r>
      <w:proofErr w:type="spellStart"/>
      <w:r w:rsidRPr="00FB558F">
        <w:rPr>
          <w:i/>
          <w:iCs/>
          <w:color w:val="000000"/>
          <w:sz w:val="20"/>
          <w:szCs w:val="20"/>
        </w:rPr>
        <w:t>drx-inactivityTimer</w:t>
      </w:r>
      <w:proofErr w:type="spellEnd"/>
      <w:r>
        <w:rPr>
          <w:color w:val="000000"/>
          <w:sz w:val="20"/>
          <w:szCs w:val="20"/>
        </w:rPr>
        <w:t xml:space="preserve"> of the secondary DRX group when an SCell of the secondary DRX group is activated and the secondary DRX group is outside Active Time</w:t>
      </w:r>
      <w:r>
        <w:rPr>
          <w:sz w:val="20"/>
          <w:szCs w:val="20"/>
        </w:rPr>
        <w:t xml:space="preserve">. </w:t>
      </w:r>
      <w:r w:rsidR="002A61CF">
        <w:rPr>
          <w:sz w:val="20"/>
          <w:szCs w:val="20"/>
        </w:rPr>
        <w:t>I</w:t>
      </w:r>
      <w:r>
        <w:rPr>
          <w:sz w:val="20"/>
          <w:szCs w:val="20"/>
        </w:rPr>
        <w:t>t</w:t>
      </w:r>
      <w:r>
        <w:rPr>
          <w:color w:val="000000"/>
          <w:sz w:val="20"/>
          <w:szCs w:val="20"/>
        </w:rPr>
        <w:t xml:space="preserve"> has been discussed in e-mail discussion R2-2111537 </w:t>
      </w:r>
      <w:r w:rsidR="003144CD">
        <w:rPr>
          <w:color w:val="000000"/>
          <w:sz w:val="20"/>
          <w:szCs w:val="20"/>
        </w:rPr>
        <w:t xml:space="preserve">[2] </w:t>
      </w:r>
      <w:r>
        <w:rPr>
          <w:sz w:val="20"/>
          <w:szCs w:val="20"/>
        </w:rPr>
        <w:t>“</w:t>
      </w:r>
      <w:r>
        <w:rPr>
          <w:color w:val="000000"/>
          <w:sz w:val="20"/>
          <w:szCs w:val="20"/>
        </w:rPr>
        <w:t>[AT116-e][</w:t>
      </w:r>
      <w:proofErr w:type="gramStart"/>
      <w:r>
        <w:rPr>
          <w:color w:val="000000"/>
          <w:sz w:val="20"/>
          <w:szCs w:val="20"/>
        </w:rPr>
        <w:t>049][</w:t>
      </w:r>
      <w:proofErr w:type="gramEnd"/>
      <w:r>
        <w:rPr>
          <w:color w:val="000000"/>
          <w:sz w:val="20"/>
          <w:szCs w:val="20"/>
        </w:rPr>
        <w:t>TEI17] TEI17 NR proposals</w:t>
      </w:r>
      <w:r>
        <w:rPr>
          <w:sz w:val="20"/>
          <w:szCs w:val="20"/>
        </w:rPr>
        <w:t>”</w:t>
      </w:r>
      <w:r>
        <w:rPr>
          <w:color w:val="000000"/>
          <w:sz w:val="20"/>
          <w:szCs w:val="20"/>
        </w:rPr>
        <w:t xml:space="preserve">, </w:t>
      </w:r>
      <w:r>
        <w:rPr>
          <w:sz w:val="20"/>
          <w:szCs w:val="20"/>
        </w:rPr>
        <w:t>the decision</w:t>
      </w:r>
      <w:r>
        <w:rPr>
          <w:color w:val="000000"/>
          <w:sz w:val="20"/>
          <w:szCs w:val="20"/>
        </w:rPr>
        <w:t xml:space="preserve"> was postponed to the next meeting </w:t>
      </w:r>
      <w:r>
        <w:rPr>
          <w:sz w:val="20"/>
          <w:szCs w:val="20"/>
        </w:rPr>
        <w:t>as shown below;</w:t>
      </w:r>
    </w:p>
    <w:tbl>
      <w:tblPr>
        <w:tblStyle w:val="a1"/>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E1632D" w14:paraId="24BCD4E2" w14:textId="77777777">
        <w:tc>
          <w:tcPr>
            <w:tcW w:w="10204" w:type="dxa"/>
            <w:shd w:val="clear" w:color="auto" w:fill="auto"/>
            <w:tcMar>
              <w:top w:w="100" w:type="dxa"/>
              <w:left w:w="100" w:type="dxa"/>
              <w:bottom w:w="100" w:type="dxa"/>
              <w:right w:w="100" w:type="dxa"/>
            </w:tcMar>
          </w:tcPr>
          <w:p w14:paraId="35C2264F" w14:textId="6134E29D" w:rsidR="00E1632D" w:rsidRDefault="001B18D3" w:rsidP="00927685">
            <w:pPr>
              <w:spacing w:before="60"/>
              <w:ind w:left="1320" w:hangingChars="550" w:hanging="1320"/>
              <w:rPr>
                <w:rFonts w:ascii="Arial" w:eastAsia="Arial" w:hAnsi="Arial" w:cs="Arial"/>
                <w:sz w:val="20"/>
                <w:szCs w:val="20"/>
              </w:rPr>
            </w:pPr>
            <w:hyperlink r:id="rId9">
              <w:r w:rsidR="000A4A4F">
                <w:rPr>
                  <w:rFonts w:ascii="Arial" w:eastAsia="Arial" w:hAnsi="Arial" w:cs="Arial"/>
                  <w:color w:val="0000FF"/>
                  <w:sz w:val="20"/>
                  <w:szCs w:val="20"/>
                  <w:u w:val="single"/>
                </w:rPr>
                <w:t>R2-2111460</w:t>
              </w:r>
            </w:hyperlink>
            <w:r w:rsidR="000A4A4F">
              <w:rPr>
                <w:rFonts w:ascii="Arial" w:eastAsia="Arial" w:hAnsi="Arial" w:cs="Arial"/>
                <w:sz w:val="20"/>
                <w:szCs w:val="20"/>
              </w:rPr>
              <w:t xml:space="preserve"> </w:t>
            </w:r>
            <w:r w:rsidR="000A4A4F">
              <w:rPr>
                <w:rFonts w:ascii="Arial" w:eastAsia="Arial" w:hAnsi="Arial" w:cs="Arial"/>
                <w:sz w:val="20"/>
                <w:szCs w:val="20"/>
              </w:rPr>
              <w:tab/>
              <w:t>Secondary DRX enhancements</w:t>
            </w:r>
            <w:r w:rsidR="000A4A4F">
              <w:rPr>
                <w:rFonts w:ascii="Arial" w:eastAsia="Arial" w:hAnsi="Arial" w:cs="Arial"/>
                <w:sz w:val="20"/>
                <w:szCs w:val="20"/>
              </w:rPr>
              <w:tab/>
              <w:t>Verizon, Ericsson, Qualcomm Inc, T-Mobile USA Inc</w:t>
            </w:r>
            <w:r w:rsidR="000A4A4F">
              <w:rPr>
                <w:rFonts w:ascii="Arial" w:eastAsia="Arial" w:hAnsi="Arial" w:cs="Arial"/>
                <w:sz w:val="20"/>
                <w:szCs w:val="20"/>
              </w:rPr>
              <w:tab/>
            </w:r>
            <w:r w:rsidR="00927685">
              <w:rPr>
                <w:rFonts w:ascii="Arial" w:eastAsia="Arial" w:hAnsi="Arial" w:cs="Arial"/>
                <w:sz w:val="20"/>
                <w:szCs w:val="20"/>
              </w:rPr>
              <w:t xml:space="preserve"> </w:t>
            </w:r>
            <w:proofErr w:type="gramStart"/>
            <w:r w:rsidR="000A4A4F">
              <w:rPr>
                <w:rFonts w:ascii="Arial" w:eastAsia="Arial" w:hAnsi="Arial" w:cs="Arial"/>
                <w:sz w:val="20"/>
                <w:szCs w:val="20"/>
              </w:rPr>
              <w:t>discussion</w:t>
            </w:r>
            <w:r w:rsidR="00927685">
              <w:rPr>
                <w:rFonts w:ascii="Arial" w:eastAsia="Arial" w:hAnsi="Arial" w:cs="Arial"/>
                <w:sz w:val="20"/>
                <w:szCs w:val="20"/>
              </w:rPr>
              <w:t xml:space="preserve">  </w:t>
            </w:r>
            <w:r w:rsidR="000A4A4F">
              <w:rPr>
                <w:rFonts w:ascii="Arial" w:eastAsia="Arial" w:hAnsi="Arial" w:cs="Arial"/>
                <w:sz w:val="20"/>
                <w:szCs w:val="20"/>
              </w:rPr>
              <w:t>Rel</w:t>
            </w:r>
            <w:proofErr w:type="gramEnd"/>
            <w:r w:rsidR="000A4A4F">
              <w:rPr>
                <w:rFonts w:ascii="Arial" w:eastAsia="Arial" w:hAnsi="Arial" w:cs="Arial"/>
                <w:sz w:val="20"/>
                <w:szCs w:val="20"/>
              </w:rPr>
              <w:t>-17</w:t>
            </w:r>
            <w:r w:rsidR="00927685">
              <w:rPr>
                <w:rFonts w:ascii="Arial" w:eastAsia="Arial" w:hAnsi="Arial" w:cs="Arial"/>
                <w:sz w:val="20"/>
                <w:szCs w:val="20"/>
              </w:rPr>
              <w:t xml:space="preserve">  </w:t>
            </w:r>
            <w:r w:rsidR="000A4A4F">
              <w:rPr>
                <w:rFonts w:ascii="Arial" w:eastAsia="Arial" w:hAnsi="Arial" w:cs="Arial"/>
                <w:sz w:val="20"/>
                <w:szCs w:val="20"/>
              </w:rPr>
              <w:t>TEI17</w:t>
            </w:r>
          </w:p>
          <w:p w14:paraId="7444794A" w14:textId="77777777" w:rsidR="00E1632D" w:rsidRDefault="000A4A4F">
            <w:pPr>
              <w:tabs>
                <w:tab w:val="left" w:pos="1622"/>
              </w:tabs>
              <w:ind w:left="1622" w:hanging="363"/>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 xml:space="preserve">[049] Chair: Most comments about P1, There is significant support but also some opposition, and questions whether this really gains something </w:t>
            </w:r>
            <w:proofErr w:type="spellStart"/>
            <w:r>
              <w:rPr>
                <w:rFonts w:ascii="Arial" w:eastAsia="Arial" w:hAnsi="Arial" w:cs="Arial"/>
                <w:sz w:val="20"/>
                <w:szCs w:val="20"/>
              </w:rPr>
              <w:t>cmp</w:t>
            </w:r>
            <w:proofErr w:type="spellEnd"/>
            <w:r>
              <w:rPr>
                <w:rFonts w:ascii="Arial" w:eastAsia="Arial" w:hAnsi="Arial" w:cs="Arial"/>
                <w:sz w:val="20"/>
                <w:szCs w:val="20"/>
              </w:rPr>
              <w:t xml:space="preserve"> to other mechanisms. </w:t>
            </w:r>
          </w:p>
          <w:p w14:paraId="01EE0EDD" w14:textId="77777777" w:rsidR="00E1632D" w:rsidRDefault="001B18D3">
            <w:pPr>
              <w:tabs>
                <w:tab w:val="left" w:pos="1622"/>
              </w:tabs>
              <w:ind w:left="1622" w:hanging="363"/>
              <w:rPr>
                <w:sz w:val="20"/>
                <w:szCs w:val="20"/>
              </w:rPr>
            </w:pPr>
            <w:sdt>
              <w:sdtPr>
                <w:tag w:val="goog_rdk_0"/>
                <w:id w:val="-2117049031"/>
              </w:sdtPr>
              <w:sdtEndPr/>
              <w:sdtContent>
                <w:r w:rsidR="000A4A4F">
                  <w:rPr>
                    <w:rFonts w:ascii="Arial Unicode MS" w:eastAsia="Arial Unicode MS" w:hAnsi="Arial Unicode MS" w:cs="Arial Unicode MS"/>
                    <w:b/>
                    <w:sz w:val="20"/>
                    <w:szCs w:val="20"/>
                  </w:rPr>
                  <w:t xml:space="preserve">⇒    </w:t>
                </w:r>
              </w:sdtContent>
            </w:sdt>
            <w:r w:rsidR="000A4A4F">
              <w:rPr>
                <w:rFonts w:ascii="Arial" w:eastAsia="Arial" w:hAnsi="Arial" w:cs="Arial"/>
                <w:b/>
                <w:sz w:val="20"/>
                <w:szCs w:val="20"/>
              </w:rPr>
              <w:t>[049] Noted, Keep on the table (can be discussed next meeting)</w:t>
            </w:r>
          </w:p>
        </w:tc>
      </w:tr>
    </w:tbl>
    <w:p w14:paraId="7B3F961A" w14:textId="77777777" w:rsidR="00E1632D" w:rsidRDefault="00E1632D">
      <w:pPr>
        <w:rPr>
          <w:sz w:val="20"/>
          <w:szCs w:val="20"/>
        </w:rPr>
      </w:pPr>
    </w:p>
    <w:p w14:paraId="10FA9F9D" w14:textId="47DE47D7" w:rsidR="00E1632D" w:rsidRDefault="000A4A4F">
      <w:pPr>
        <w:rPr>
          <w:sz w:val="20"/>
          <w:szCs w:val="20"/>
        </w:rPr>
      </w:pPr>
      <w:r>
        <w:rPr>
          <w:sz w:val="20"/>
          <w:szCs w:val="20"/>
        </w:rPr>
        <w:t>In this contribution, we</w:t>
      </w:r>
      <w:r w:rsidR="00B809AE">
        <w:rPr>
          <w:sz w:val="20"/>
          <w:szCs w:val="20"/>
        </w:rPr>
        <w:t xml:space="preserve"> provide </w:t>
      </w:r>
      <w:r w:rsidR="00B809AE" w:rsidRPr="00DA5A07">
        <w:rPr>
          <w:sz w:val="20"/>
          <w:szCs w:val="20"/>
        </w:rPr>
        <w:t>ou</w:t>
      </w:r>
      <w:r w:rsidR="00E36968" w:rsidRPr="00DA5A07">
        <w:rPr>
          <w:rFonts w:eastAsia="Batang"/>
          <w:sz w:val="20"/>
          <w:szCs w:val="20"/>
        </w:rPr>
        <w:t>r</w:t>
      </w:r>
      <w:r w:rsidR="00B809AE" w:rsidRPr="00DA5A07">
        <w:rPr>
          <w:sz w:val="20"/>
          <w:szCs w:val="20"/>
        </w:rPr>
        <w:t xml:space="preserve"> views on the secondary DRX enhancement.</w:t>
      </w:r>
      <w:r w:rsidR="00BC4BA6" w:rsidRPr="00DA5A07">
        <w:rPr>
          <w:sz w:val="20"/>
          <w:szCs w:val="20"/>
        </w:rPr>
        <w:t xml:space="preserve"> </w:t>
      </w:r>
      <w:r w:rsidR="00B809AE" w:rsidRPr="00DA5A07">
        <w:rPr>
          <w:sz w:val="20"/>
          <w:szCs w:val="20"/>
        </w:rPr>
        <w:t>First,</w:t>
      </w:r>
      <w:r w:rsidR="00BC4BA6" w:rsidRPr="00DA5A07">
        <w:rPr>
          <w:sz w:val="20"/>
          <w:szCs w:val="20"/>
        </w:rPr>
        <w:t xml:space="preserve"> </w:t>
      </w:r>
      <w:r w:rsidR="00B809AE" w:rsidRPr="00DA5A07">
        <w:rPr>
          <w:sz w:val="20"/>
          <w:szCs w:val="20"/>
        </w:rPr>
        <w:t xml:space="preserve">we propose RAN2 to </w:t>
      </w:r>
      <w:r w:rsidR="001B4A8C" w:rsidRPr="00DA5A07">
        <w:rPr>
          <w:sz w:val="20"/>
          <w:szCs w:val="20"/>
        </w:rPr>
        <w:t>discuss</w:t>
      </w:r>
      <w:r w:rsidR="004721C2" w:rsidRPr="00DA5A07">
        <w:rPr>
          <w:sz w:val="20"/>
          <w:szCs w:val="20"/>
        </w:rPr>
        <w:t xml:space="preserve"> whether enhancement on the secondary DRX group</w:t>
      </w:r>
      <w:r w:rsidR="004721C2" w:rsidRPr="004721C2">
        <w:rPr>
          <w:sz w:val="20"/>
          <w:szCs w:val="20"/>
        </w:rPr>
        <w:t xml:space="preserve"> is needed or not</w:t>
      </w:r>
      <w:r w:rsidR="00567F5F">
        <w:rPr>
          <w:sz w:val="20"/>
          <w:szCs w:val="20"/>
        </w:rPr>
        <w:t xml:space="preserve">. </w:t>
      </w:r>
      <w:r w:rsidR="00B809AE">
        <w:rPr>
          <w:sz w:val="20"/>
          <w:szCs w:val="20"/>
        </w:rPr>
        <w:t>If justified</w:t>
      </w:r>
      <w:r w:rsidR="00567F5F" w:rsidRPr="00567F5F">
        <w:rPr>
          <w:sz w:val="20"/>
          <w:szCs w:val="20"/>
        </w:rPr>
        <w:t xml:space="preserve">, </w:t>
      </w:r>
      <w:r w:rsidR="00567F5F">
        <w:rPr>
          <w:sz w:val="20"/>
          <w:szCs w:val="20"/>
        </w:rPr>
        <w:t xml:space="preserve">we propose </w:t>
      </w:r>
      <w:r w:rsidR="00567F5F" w:rsidRPr="00567F5F">
        <w:rPr>
          <w:sz w:val="20"/>
          <w:szCs w:val="20"/>
        </w:rPr>
        <w:t xml:space="preserve">RAN2 to study </w:t>
      </w:r>
      <w:r w:rsidR="001B4A8C">
        <w:rPr>
          <w:sz w:val="20"/>
          <w:szCs w:val="20"/>
        </w:rPr>
        <w:t xml:space="preserve">further enhancement on the secondary DRX group </w:t>
      </w:r>
      <w:r w:rsidR="00567F5F" w:rsidRPr="00567F5F">
        <w:rPr>
          <w:sz w:val="20"/>
          <w:szCs w:val="20"/>
        </w:rPr>
        <w:t>in R18 considering the current R17 timeline.</w:t>
      </w:r>
    </w:p>
    <w:p w14:paraId="679538F2" w14:textId="77777777" w:rsidR="00DD733D" w:rsidRDefault="00DD733D">
      <w:pPr>
        <w:rPr>
          <w:sz w:val="20"/>
          <w:szCs w:val="20"/>
        </w:rPr>
      </w:pPr>
    </w:p>
    <w:p w14:paraId="09649073" w14:textId="2C2112D3" w:rsidR="00EA256C" w:rsidRPr="00EA256C" w:rsidRDefault="000A4A4F" w:rsidP="00EA256C">
      <w:pPr>
        <w:pStyle w:val="Heading1"/>
        <w:tabs>
          <w:tab w:val="left" w:pos="2268"/>
          <w:tab w:val="left" w:pos="3686"/>
        </w:tabs>
        <w:ind w:right="-99"/>
      </w:pPr>
      <w:r>
        <w:t>2</w:t>
      </w:r>
      <w:r>
        <w:tab/>
        <w:t>Discussion</w:t>
      </w:r>
    </w:p>
    <w:p w14:paraId="0FC4CE21" w14:textId="79BFD066" w:rsidR="002D5305" w:rsidRDefault="00BC4BA6" w:rsidP="002D5305">
      <w:pPr>
        <w:rPr>
          <w:sz w:val="20"/>
          <w:szCs w:val="20"/>
        </w:rPr>
      </w:pPr>
      <w:r>
        <w:rPr>
          <w:sz w:val="20"/>
          <w:szCs w:val="20"/>
        </w:rPr>
        <w:t>A</w:t>
      </w:r>
      <w:r w:rsidR="002D5305" w:rsidRPr="002D5305">
        <w:rPr>
          <w:sz w:val="20"/>
          <w:szCs w:val="20"/>
        </w:rPr>
        <w:t xml:space="preserve"> secondary DRX group was introduced in R16, which enables UE power savings when carrier aggregation is configured including both FR1 and FR2 cells. The FR2 cells can be configured in a secondary DRX group with a shorter </w:t>
      </w:r>
      <w:proofErr w:type="spellStart"/>
      <w:r w:rsidR="002D5305" w:rsidRPr="00E36968">
        <w:rPr>
          <w:i/>
          <w:iCs/>
          <w:sz w:val="20"/>
          <w:szCs w:val="20"/>
        </w:rPr>
        <w:t>drx-onDurationTimer</w:t>
      </w:r>
      <w:proofErr w:type="spellEnd"/>
      <w:r w:rsidR="002D5305" w:rsidRPr="002D5305">
        <w:rPr>
          <w:sz w:val="20"/>
          <w:szCs w:val="20"/>
        </w:rPr>
        <w:t xml:space="preserve"> and shorter </w:t>
      </w:r>
      <w:proofErr w:type="spellStart"/>
      <w:r w:rsidR="00E36968" w:rsidRPr="00E36968">
        <w:rPr>
          <w:i/>
          <w:iCs/>
          <w:sz w:val="20"/>
          <w:szCs w:val="20"/>
        </w:rPr>
        <w:t>drx-I</w:t>
      </w:r>
      <w:r w:rsidR="002D5305" w:rsidRPr="00E36968">
        <w:rPr>
          <w:i/>
          <w:iCs/>
          <w:sz w:val="20"/>
          <w:szCs w:val="20"/>
        </w:rPr>
        <w:t>nactivity</w:t>
      </w:r>
      <w:r w:rsidR="00E36968" w:rsidRPr="00E36968">
        <w:rPr>
          <w:i/>
          <w:iCs/>
          <w:sz w:val="20"/>
          <w:szCs w:val="20"/>
        </w:rPr>
        <w:t>T</w:t>
      </w:r>
      <w:r w:rsidR="002D5305" w:rsidRPr="00E36968">
        <w:rPr>
          <w:i/>
          <w:iCs/>
          <w:sz w:val="20"/>
          <w:szCs w:val="20"/>
        </w:rPr>
        <w:t>imer</w:t>
      </w:r>
      <w:proofErr w:type="spellEnd"/>
      <w:r w:rsidR="002D5305" w:rsidRPr="002D5305">
        <w:rPr>
          <w:sz w:val="20"/>
          <w:szCs w:val="20"/>
        </w:rPr>
        <w:t xml:space="preserve"> compared to the FR1 cells in the default DRX group. This </w:t>
      </w:r>
      <w:r w:rsidR="00E36968">
        <w:rPr>
          <w:sz w:val="20"/>
          <w:szCs w:val="20"/>
        </w:rPr>
        <w:t>allows</w:t>
      </w:r>
      <w:r w:rsidR="002D5305" w:rsidRPr="002D5305">
        <w:rPr>
          <w:sz w:val="20"/>
          <w:szCs w:val="20"/>
        </w:rPr>
        <w:t xml:space="preserve"> FR2 cells to go to sleep more quickly when there is no more traffic and save power. </w:t>
      </w:r>
      <w:r w:rsidR="00DA5A07">
        <w:rPr>
          <w:sz w:val="20"/>
          <w:szCs w:val="20"/>
        </w:rPr>
        <w:t>The</w:t>
      </w:r>
      <w:r w:rsidR="0004273D">
        <w:rPr>
          <w:sz w:val="20"/>
          <w:szCs w:val="20"/>
        </w:rPr>
        <w:t xml:space="preserve"> secondary DRX group aimed at UE power-saving, whereas t</w:t>
      </w:r>
      <w:r w:rsidR="002D5305">
        <w:rPr>
          <w:sz w:val="20"/>
          <w:szCs w:val="20"/>
        </w:rPr>
        <w:t xml:space="preserve">he latency and throughput are not important </w:t>
      </w:r>
      <w:r w:rsidR="0004273D">
        <w:rPr>
          <w:sz w:val="20"/>
          <w:szCs w:val="20"/>
        </w:rPr>
        <w:t>consideration</w:t>
      </w:r>
      <w:r w:rsidR="00EE7F93">
        <w:rPr>
          <w:sz w:val="20"/>
          <w:szCs w:val="20"/>
        </w:rPr>
        <w:t>s</w:t>
      </w:r>
      <w:r w:rsidR="002D5305">
        <w:rPr>
          <w:sz w:val="20"/>
          <w:szCs w:val="20"/>
        </w:rPr>
        <w:t xml:space="preserve"> for introducing the secondary DRX group</w:t>
      </w:r>
      <w:r w:rsidR="0004273D">
        <w:rPr>
          <w:sz w:val="20"/>
          <w:szCs w:val="20"/>
        </w:rPr>
        <w:t xml:space="preserve"> in R16</w:t>
      </w:r>
      <w:r w:rsidR="002D5305">
        <w:rPr>
          <w:sz w:val="20"/>
          <w:szCs w:val="20"/>
        </w:rPr>
        <w:t xml:space="preserve">. </w:t>
      </w:r>
    </w:p>
    <w:p w14:paraId="1C35DD0A" w14:textId="596D91B0" w:rsidR="008718F0" w:rsidRDefault="008718F0" w:rsidP="002D5305">
      <w:pPr>
        <w:rPr>
          <w:sz w:val="20"/>
          <w:szCs w:val="20"/>
        </w:rPr>
      </w:pPr>
    </w:p>
    <w:p w14:paraId="61637BB2" w14:textId="4F82E2BC" w:rsidR="008718F0" w:rsidRPr="008A6EAC" w:rsidRDefault="008718F0" w:rsidP="008718F0">
      <w:pPr>
        <w:rPr>
          <w:sz w:val="20"/>
          <w:szCs w:val="20"/>
        </w:rPr>
      </w:pPr>
      <w:r w:rsidRPr="00E766AC">
        <w:rPr>
          <w:b/>
          <w:bCs/>
          <w:sz w:val="20"/>
          <w:szCs w:val="20"/>
        </w:rPr>
        <w:t xml:space="preserve">Observation 1. </w:t>
      </w:r>
      <w:r w:rsidR="00AC696E">
        <w:rPr>
          <w:sz w:val="20"/>
          <w:szCs w:val="20"/>
        </w:rPr>
        <w:t>S</w:t>
      </w:r>
      <w:r w:rsidRPr="008A6EAC">
        <w:rPr>
          <w:sz w:val="20"/>
          <w:szCs w:val="20"/>
        </w:rPr>
        <w:t xml:space="preserve">econdary DRX group </w:t>
      </w:r>
      <w:r w:rsidR="00DE43FB">
        <w:rPr>
          <w:sz w:val="20"/>
          <w:szCs w:val="20"/>
        </w:rPr>
        <w:t>is</w:t>
      </w:r>
      <w:r w:rsidR="001F546D" w:rsidRPr="008A6EAC">
        <w:rPr>
          <w:sz w:val="20"/>
          <w:szCs w:val="20"/>
        </w:rPr>
        <w:t xml:space="preserve"> </w:t>
      </w:r>
      <w:r w:rsidRPr="008A6EAC">
        <w:rPr>
          <w:sz w:val="20"/>
          <w:szCs w:val="20"/>
        </w:rPr>
        <w:t>aimed at UE power-saving</w:t>
      </w:r>
      <w:r w:rsidR="00A573D7">
        <w:rPr>
          <w:sz w:val="20"/>
          <w:szCs w:val="20"/>
        </w:rPr>
        <w:t>.</w:t>
      </w:r>
      <w:r w:rsidR="00E71ECF">
        <w:rPr>
          <w:sz w:val="20"/>
          <w:szCs w:val="20"/>
        </w:rPr>
        <w:t xml:space="preserve"> </w:t>
      </w:r>
      <w:r w:rsidR="00F8158E">
        <w:rPr>
          <w:sz w:val="20"/>
          <w:szCs w:val="20"/>
        </w:rPr>
        <w:t>L</w:t>
      </w:r>
      <w:r w:rsidR="00E71ECF">
        <w:rPr>
          <w:sz w:val="20"/>
          <w:szCs w:val="20"/>
        </w:rPr>
        <w:t xml:space="preserve">atency and throughput were not important </w:t>
      </w:r>
      <w:r w:rsidR="00EE7F93">
        <w:rPr>
          <w:sz w:val="20"/>
          <w:szCs w:val="20"/>
        </w:rPr>
        <w:t>considerations</w:t>
      </w:r>
      <w:r w:rsidRPr="008A6EAC">
        <w:rPr>
          <w:sz w:val="20"/>
          <w:szCs w:val="20"/>
        </w:rPr>
        <w:t>.</w:t>
      </w:r>
      <w:r w:rsidR="00E766AC" w:rsidRPr="008A6EAC">
        <w:rPr>
          <w:sz w:val="20"/>
          <w:szCs w:val="20"/>
        </w:rPr>
        <w:t xml:space="preserve"> </w:t>
      </w:r>
      <w:r w:rsidR="00E71ECF">
        <w:rPr>
          <w:sz w:val="20"/>
          <w:szCs w:val="20"/>
        </w:rPr>
        <w:t xml:space="preserve"> </w:t>
      </w:r>
    </w:p>
    <w:p w14:paraId="1C63FBE6" w14:textId="6B76CD0B" w:rsidR="006066DC" w:rsidRDefault="006066DC" w:rsidP="002D5305">
      <w:pPr>
        <w:rPr>
          <w:rFonts w:eastAsiaTheme="minorEastAsia"/>
          <w:sz w:val="20"/>
          <w:szCs w:val="20"/>
        </w:rPr>
      </w:pPr>
    </w:p>
    <w:p w14:paraId="7B6B28FD" w14:textId="64C2D98F" w:rsidR="00286109" w:rsidRDefault="0095112D">
      <w:pPr>
        <w:rPr>
          <w:sz w:val="20"/>
          <w:szCs w:val="20"/>
        </w:rPr>
      </w:pPr>
      <w:r w:rsidRPr="0095112D">
        <w:rPr>
          <w:sz w:val="20"/>
          <w:szCs w:val="20"/>
        </w:rPr>
        <w:t xml:space="preserve">Even though two DRX groups are separated, the short and long DRX cycles </w:t>
      </w:r>
      <w:r w:rsidR="00DE43FB">
        <w:rPr>
          <w:sz w:val="20"/>
          <w:szCs w:val="20"/>
        </w:rPr>
        <w:t xml:space="preserve">are common to </w:t>
      </w:r>
      <w:r w:rsidR="00EE7F93">
        <w:rPr>
          <w:sz w:val="20"/>
          <w:szCs w:val="20"/>
        </w:rPr>
        <w:t>the d</w:t>
      </w:r>
      <w:r w:rsidRPr="0095112D">
        <w:rPr>
          <w:sz w:val="20"/>
          <w:szCs w:val="20"/>
        </w:rPr>
        <w:t xml:space="preserve">efault </w:t>
      </w:r>
      <w:r>
        <w:rPr>
          <w:sz w:val="20"/>
          <w:szCs w:val="20"/>
        </w:rPr>
        <w:t xml:space="preserve">and </w:t>
      </w:r>
      <w:r w:rsidR="00EE7F93">
        <w:rPr>
          <w:sz w:val="20"/>
          <w:szCs w:val="20"/>
        </w:rPr>
        <w:t>s</w:t>
      </w:r>
      <w:r w:rsidRPr="0095112D">
        <w:rPr>
          <w:sz w:val="20"/>
          <w:szCs w:val="20"/>
        </w:rPr>
        <w:t>econdary DRX group, i.e., the period of the long DRX or the short DRX cycle is commonly configured per cell group</w:t>
      </w:r>
      <w:r w:rsidR="00DA5A07">
        <w:rPr>
          <w:sz w:val="20"/>
          <w:szCs w:val="20"/>
        </w:rPr>
        <w:t xml:space="preserve">, </w:t>
      </w:r>
      <w:r w:rsidRPr="0095112D">
        <w:rPr>
          <w:sz w:val="20"/>
          <w:szCs w:val="20"/>
        </w:rPr>
        <w:t xml:space="preserve">not per DRX group. It means that all traffic, </w:t>
      </w:r>
      <w:r w:rsidR="00DA5A07">
        <w:rPr>
          <w:sz w:val="20"/>
          <w:szCs w:val="20"/>
        </w:rPr>
        <w:t>e.g</w:t>
      </w:r>
      <w:r w:rsidRPr="0095112D">
        <w:rPr>
          <w:sz w:val="20"/>
          <w:szCs w:val="20"/>
        </w:rPr>
        <w:t xml:space="preserve">., delay-sensitive data as well as high-rate data, should be accommodated in the short and long DRX cycles configured per cell group. </w:t>
      </w:r>
      <w:r w:rsidR="00DE43FB">
        <w:rPr>
          <w:sz w:val="20"/>
          <w:szCs w:val="20"/>
        </w:rPr>
        <w:t>I</w:t>
      </w:r>
      <w:r>
        <w:rPr>
          <w:sz w:val="20"/>
          <w:szCs w:val="20"/>
        </w:rPr>
        <w:t>f the scheduling delay in secondary DRX group is a real concern, t</w:t>
      </w:r>
      <w:r w:rsidR="007377C5">
        <w:rPr>
          <w:sz w:val="20"/>
          <w:szCs w:val="20"/>
        </w:rPr>
        <w:t xml:space="preserve">he network has </w:t>
      </w:r>
      <w:r>
        <w:rPr>
          <w:sz w:val="20"/>
          <w:szCs w:val="20"/>
        </w:rPr>
        <w:t xml:space="preserve">to </w:t>
      </w:r>
      <w:r w:rsidR="007377C5">
        <w:rPr>
          <w:sz w:val="20"/>
          <w:szCs w:val="20"/>
        </w:rPr>
        <w:t xml:space="preserve">adjust the long DRX cycle so as to have a shorter on-duration </w:t>
      </w:r>
      <w:r>
        <w:rPr>
          <w:sz w:val="20"/>
          <w:szCs w:val="20"/>
        </w:rPr>
        <w:t xml:space="preserve">periodicity. Alternatively, the network can keep the secondary DRX group to use a short DRX cycle by sending DRX command MAC CE occasionally, which </w:t>
      </w:r>
      <w:r w:rsidR="005F5DB5">
        <w:rPr>
          <w:sz w:val="20"/>
          <w:szCs w:val="20"/>
        </w:rPr>
        <w:t>would reduce the scheduling delay properly with reasonable power consumption</w:t>
      </w:r>
      <w:r w:rsidR="00EE7F93">
        <w:rPr>
          <w:sz w:val="20"/>
          <w:szCs w:val="20"/>
        </w:rPr>
        <w:t>.</w:t>
      </w:r>
    </w:p>
    <w:p w14:paraId="5CA825FD" w14:textId="39C652B9" w:rsidR="00B5385D" w:rsidRPr="00F9766D" w:rsidRDefault="00B5385D">
      <w:pPr>
        <w:rPr>
          <w:sz w:val="20"/>
          <w:szCs w:val="20"/>
        </w:rPr>
      </w:pPr>
    </w:p>
    <w:p w14:paraId="61DDEA5D" w14:textId="4FFEC01F" w:rsidR="00B5385D" w:rsidRPr="00B5385D" w:rsidRDefault="00B5385D" w:rsidP="00B5385D">
      <w:pPr>
        <w:rPr>
          <w:b/>
          <w:bCs/>
          <w:sz w:val="20"/>
          <w:szCs w:val="20"/>
        </w:rPr>
      </w:pPr>
      <w:r w:rsidRPr="00B5385D">
        <w:rPr>
          <w:b/>
          <w:bCs/>
          <w:sz w:val="20"/>
          <w:szCs w:val="20"/>
        </w:rPr>
        <w:t xml:space="preserve">Observation </w:t>
      </w:r>
      <w:r w:rsidR="005802CC">
        <w:rPr>
          <w:b/>
          <w:bCs/>
          <w:sz w:val="20"/>
          <w:szCs w:val="20"/>
        </w:rPr>
        <w:t>2</w:t>
      </w:r>
      <w:r w:rsidRPr="00B5385D">
        <w:rPr>
          <w:b/>
          <w:bCs/>
          <w:sz w:val="20"/>
          <w:szCs w:val="20"/>
        </w:rPr>
        <w:t xml:space="preserve">. </w:t>
      </w:r>
      <w:r w:rsidR="00AC696E">
        <w:rPr>
          <w:sz w:val="20"/>
          <w:szCs w:val="20"/>
        </w:rPr>
        <w:t>N</w:t>
      </w:r>
      <w:r w:rsidR="008A6EAC">
        <w:rPr>
          <w:sz w:val="20"/>
          <w:szCs w:val="20"/>
        </w:rPr>
        <w:t xml:space="preserve">etwork </w:t>
      </w:r>
      <w:r w:rsidR="005F5DB5">
        <w:rPr>
          <w:sz w:val="20"/>
          <w:szCs w:val="20"/>
        </w:rPr>
        <w:t>can keep secondary DRX group in use of short DRX cycle by sending DRX command MAC CE occasionally</w:t>
      </w:r>
      <w:r w:rsidR="0043068A">
        <w:rPr>
          <w:sz w:val="20"/>
          <w:szCs w:val="20"/>
        </w:rPr>
        <w:t xml:space="preserve"> if scheduling delay is a problem in secondary DRX group</w:t>
      </w:r>
      <w:r w:rsidR="005F5DB5">
        <w:rPr>
          <w:sz w:val="20"/>
          <w:szCs w:val="20"/>
        </w:rPr>
        <w:t>.</w:t>
      </w:r>
    </w:p>
    <w:p w14:paraId="1C0DD4C0" w14:textId="59A792CE" w:rsidR="0040280D" w:rsidRPr="004312F2" w:rsidRDefault="0040280D">
      <w:pPr>
        <w:rPr>
          <w:sz w:val="20"/>
          <w:szCs w:val="20"/>
        </w:rPr>
      </w:pPr>
    </w:p>
    <w:p w14:paraId="5FAA661B" w14:textId="5AA3BFC1" w:rsidR="0040280D" w:rsidRDefault="005F5DB5" w:rsidP="005F5DB5">
      <w:pPr>
        <w:rPr>
          <w:sz w:val="20"/>
          <w:szCs w:val="20"/>
        </w:rPr>
      </w:pPr>
      <w:r>
        <w:rPr>
          <w:rFonts w:eastAsiaTheme="minorEastAsia" w:hint="eastAsia"/>
          <w:sz w:val="20"/>
          <w:szCs w:val="20"/>
        </w:rPr>
        <w:t xml:space="preserve">One may argue that keeping the secondary DRX </w:t>
      </w:r>
      <w:r w:rsidR="001D1840">
        <w:rPr>
          <w:rFonts w:eastAsiaTheme="minorEastAsia"/>
          <w:sz w:val="20"/>
          <w:szCs w:val="20"/>
        </w:rPr>
        <w:t xml:space="preserve">group </w:t>
      </w:r>
      <w:r>
        <w:rPr>
          <w:rFonts w:eastAsiaTheme="minorEastAsia" w:hint="eastAsia"/>
          <w:sz w:val="20"/>
          <w:szCs w:val="20"/>
        </w:rPr>
        <w:t>in use of short DRX cycle is not sufficient because the UE still needs to wait until the next on</w:t>
      </w:r>
      <w:r w:rsidR="00EE7F93">
        <w:rPr>
          <w:rFonts w:eastAsiaTheme="minorEastAsia"/>
          <w:sz w:val="20"/>
          <w:szCs w:val="20"/>
        </w:rPr>
        <w:t>-</w:t>
      </w:r>
      <w:r>
        <w:rPr>
          <w:rFonts w:eastAsiaTheme="minorEastAsia" w:hint="eastAsia"/>
          <w:sz w:val="20"/>
          <w:szCs w:val="20"/>
        </w:rPr>
        <w:t xml:space="preserve">duration according to the </w:t>
      </w:r>
      <w:r>
        <w:rPr>
          <w:rFonts w:eastAsiaTheme="minorEastAsia"/>
          <w:sz w:val="20"/>
          <w:szCs w:val="20"/>
        </w:rPr>
        <w:t xml:space="preserve">short DRX cycle. However, once the scheduling is possible, i.e., the UE is in Active Time, the network can </w:t>
      </w:r>
      <w:r w:rsidR="0040280D" w:rsidRPr="00BA3AC1">
        <w:rPr>
          <w:sz w:val="20"/>
          <w:szCs w:val="20"/>
        </w:rPr>
        <w:t xml:space="preserve">schedule the resource </w:t>
      </w:r>
      <w:r w:rsidR="00202F4A">
        <w:rPr>
          <w:sz w:val="20"/>
          <w:szCs w:val="20"/>
        </w:rPr>
        <w:t xml:space="preserve">more aggressively to compensate </w:t>
      </w:r>
      <w:r w:rsidR="00BD41BC">
        <w:rPr>
          <w:sz w:val="20"/>
          <w:szCs w:val="20"/>
        </w:rPr>
        <w:t xml:space="preserve">for </w:t>
      </w:r>
      <w:r w:rsidR="004312F2">
        <w:rPr>
          <w:sz w:val="20"/>
          <w:szCs w:val="20"/>
        </w:rPr>
        <w:t xml:space="preserve">degraded </w:t>
      </w:r>
      <w:r w:rsidR="00192F18">
        <w:rPr>
          <w:sz w:val="20"/>
          <w:szCs w:val="20"/>
        </w:rPr>
        <w:t xml:space="preserve">throughput </w:t>
      </w:r>
      <w:r w:rsidR="004312F2">
        <w:rPr>
          <w:sz w:val="20"/>
          <w:szCs w:val="20"/>
        </w:rPr>
        <w:t>due to a delay</w:t>
      </w:r>
      <w:r w:rsidR="00202F4A">
        <w:rPr>
          <w:sz w:val="20"/>
          <w:szCs w:val="20"/>
        </w:rPr>
        <w:t>.</w:t>
      </w:r>
    </w:p>
    <w:p w14:paraId="2DAB57FD" w14:textId="215B4580" w:rsidR="00202F4A" w:rsidRDefault="00202F4A" w:rsidP="00B55104">
      <w:pPr>
        <w:rPr>
          <w:sz w:val="20"/>
          <w:szCs w:val="20"/>
        </w:rPr>
      </w:pPr>
    </w:p>
    <w:p w14:paraId="45860901" w14:textId="4095E1AE" w:rsidR="00202F4A" w:rsidRPr="00202F4A" w:rsidRDefault="00202F4A" w:rsidP="00B55104">
      <w:pPr>
        <w:rPr>
          <w:b/>
          <w:bCs/>
          <w:sz w:val="20"/>
          <w:szCs w:val="20"/>
        </w:rPr>
      </w:pPr>
      <w:r w:rsidRPr="00202F4A">
        <w:rPr>
          <w:b/>
          <w:bCs/>
          <w:sz w:val="20"/>
          <w:szCs w:val="20"/>
        </w:rPr>
        <w:t xml:space="preserve">Observation </w:t>
      </w:r>
      <w:r w:rsidR="005802CC">
        <w:rPr>
          <w:b/>
          <w:bCs/>
          <w:sz w:val="20"/>
          <w:szCs w:val="20"/>
        </w:rPr>
        <w:t>3</w:t>
      </w:r>
      <w:r w:rsidRPr="00202F4A">
        <w:rPr>
          <w:b/>
          <w:bCs/>
          <w:sz w:val="20"/>
          <w:szCs w:val="20"/>
        </w:rPr>
        <w:t xml:space="preserve">. </w:t>
      </w:r>
      <w:r w:rsidR="00AC696E">
        <w:rPr>
          <w:sz w:val="20"/>
          <w:szCs w:val="20"/>
        </w:rPr>
        <w:t>N</w:t>
      </w:r>
      <w:r w:rsidR="00192F18" w:rsidRPr="00BA3AC1">
        <w:rPr>
          <w:sz w:val="20"/>
          <w:szCs w:val="20"/>
        </w:rPr>
        <w:t xml:space="preserve">etwork </w:t>
      </w:r>
      <w:r w:rsidR="00192F18">
        <w:rPr>
          <w:sz w:val="20"/>
          <w:szCs w:val="20"/>
        </w:rPr>
        <w:t>can</w:t>
      </w:r>
      <w:r w:rsidR="00192F18" w:rsidRPr="00BA3AC1">
        <w:rPr>
          <w:sz w:val="20"/>
          <w:szCs w:val="20"/>
        </w:rPr>
        <w:t xml:space="preserve"> schedule the resource </w:t>
      </w:r>
      <w:r w:rsidR="00192F18">
        <w:rPr>
          <w:sz w:val="20"/>
          <w:szCs w:val="20"/>
        </w:rPr>
        <w:t xml:space="preserve">more aggressively to </w:t>
      </w:r>
      <w:r w:rsidR="007351A3">
        <w:rPr>
          <w:sz w:val="20"/>
          <w:szCs w:val="20"/>
        </w:rPr>
        <w:t>increase</w:t>
      </w:r>
      <w:r w:rsidR="00192F18">
        <w:rPr>
          <w:sz w:val="20"/>
          <w:szCs w:val="20"/>
        </w:rPr>
        <w:t xml:space="preserve"> throughput even if </w:t>
      </w:r>
      <w:r w:rsidR="00F8158E">
        <w:rPr>
          <w:sz w:val="20"/>
          <w:szCs w:val="20"/>
        </w:rPr>
        <w:t xml:space="preserve">a </w:t>
      </w:r>
      <w:r w:rsidR="00192F18">
        <w:rPr>
          <w:sz w:val="20"/>
          <w:szCs w:val="20"/>
        </w:rPr>
        <w:t>delay is happened</w:t>
      </w:r>
      <w:r w:rsidR="00C21AAB">
        <w:rPr>
          <w:sz w:val="20"/>
          <w:szCs w:val="20"/>
        </w:rPr>
        <w:t xml:space="preserve"> in secondary DRX group</w:t>
      </w:r>
      <w:r w:rsidR="00192F18">
        <w:rPr>
          <w:sz w:val="20"/>
          <w:szCs w:val="20"/>
        </w:rPr>
        <w:t>.</w:t>
      </w:r>
    </w:p>
    <w:p w14:paraId="57DEC74F" w14:textId="39BC9A55" w:rsidR="00E1632D" w:rsidRPr="003959D5" w:rsidRDefault="00E1632D" w:rsidP="00B55104">
      <w:pPr>
        <w:rPr>
          <w:rFonts w:eastAsiaTheme="minorEastAsia"/>
          <w:sz w:val="20"/>
          <w:szCs w:val="20"/>
        </w:rPr>
      </w:pPr>
    </w:p>
    <w:p w14:paraId="13798EB7" w14:textId="565C2041" w:rsidR="00192F18" w:rsidRDefault="00192F18" w:rsidP="00B55104">
      <w:pPr>
        <w:rPr>
          <w:rFonts w:eastAsiaTheme="minorEastAsia"/>
          <w:sz w:val="20"/>
          <w:szCs w:val="20"/>
        </w:rPr>
      </w:pPr>
      <w:r>
        <w:rPr>
          <w:rFonts w:eastAsiaTheme="minorEastAsia" w:hint="eastAsia"/>
          <w:sz w:val="20"/>
          <w:szCs w:val="20"/>
        </w:rPr>
        <w:lastRenderedPageBreak/>
        <w:t>F</w:t>
      </w:r>
      <w:r>
        <w:rPr>
          <w:rFonts w:eastAsiaTheme="minorEastAsia"/>
          <w:sz w:val="20"/>
          <w:szCs w:val="20"/>
        </w:rPr>
        <w:t xml:space="preserve">rom the observations above, we think the enhancement on </w:t>
      </w:r>
      <w:r w:rsidR="001D1840">
        <w:rPr>
          <w:rFonts w:eastAsiaTheme="minorEastAsia"/>
          <w:sz w:val="20"/>
          <w:szCs w:val="20"/>
        </w:rPr>
        <w:t xml:space="preserve">the </w:t>
      </w:r>
      <w:r>
        <w:rPr>
          <w:rFonts w:eastAsiaTheme="minorEastAsia"/>
          <w:sz w:val="20"/>
          <w:szCs w:val="20"/>
        </w:rPr>
        <w:t xml:space="preserve">secondary DRX group is </w:t>
      </w:r>
      <w:r w:rsidR="00DD733D">
        <w:rPr>
          <w:rFonts w:eastAsiaTheme="minorEastAsia"/>
          <w:sz w:val="20"/>
          <w:szCs w:val="20"/>
        </w:rPr>
        <w:t xml:space="preserve">not </w:t>
      </w:r>
      <w:r>
        <w:rPr>
          <w:rFonts w:eastAsiaTheme="minorEastAsia"/>
          <w:sz w:val="20"/>
          <w:szCs w:val="20"/>
        </w:rPr>
        <w:t xml:space="preserve">essential </w:t>
      </w:r>
      <w:r w:rsidR="007351A3">
        <w:rPr>
          <w:rFonts w:eastAsiaTheme="minorEastAsia"/>
          <w:sz w:val="20"/>
          <w:szCs w:val="20"/>
        </w:rPr>
        <w:t xml:space="preserve">for R16/R17. </w:t>
      </w:r>
    </w:p>
    <w:p w14:paraId="1614DF06" w14:textId="77777777" w:rsidR="00192F18" w:rsidRPr="00192F18" w:rsidRDefault="00192F18" w:rsidP="00B55104">
      <w:pPr>
        <w:rPr>
          <w:rFonts w:eastAsiaTheme="minorEastAsia"/>
          <w:sz w:val="20"/>
          <w:szCs w:val="20"/>
        </w:rPr>
      </w:pPr>
    </w:p>
    <w:p w14:paraId="064EABF5" w14:textId="753B2991" w:rsidR="001B4A8C" w:rsidRPr="00EA256C" w:rsidRDefault="001B4A8C" w:rsidP="001B4A8C">
      <w:pPr>
        <w:rPr>
          <w:b/>
          <w:bCs/>
          <w:sz w:val="20"/>
          <w:szCs w:val="20"/>
        </w:rPr>
      </w:pPr>
      <w:r w:rsidRPr="00EA256C">
        <w:rPr>
          <w:b/>
          <w:bCs/>
          <w:sz w:val="20"/>
          <w:szCs w:val="20"/>
        </w:rPr>
        <w:t>Proposal 1</w:t>
      </w:r>
      <w:r>
        <w:rPr>
          <w:b/>
          <w:bCs/>
          <w:sz w:val="20"/>
          <w:szCs w:val="20"/>
        </w:rPr>
        <w:t>:</w:t>
      </w:r>
      <w:r w:rsidRPr="00EA256C">
        <w:rPr>
          <w:b/>
          <w:bCs/>
          <w:sz w:val="20"/>
          <w:szCs w:val="20"/>
        </w:rPr>
        <w:t xml:space="preserve"> </w:t>
      </w:r>
      <w:r w:rsidR="000137B8">
        <w:rPr>
          <w:b/>
          <w:bCs/>
          <w:sz w:val="20"/>
          <w:szCs w:val="20"/>
        </w:rPr>
        <w:t>T</w:t>
      </w:r>
      <w:r w:rsidR="000137B8" w:rsidRPr="000137B8">
        <w:rPr>
          <w:b/>
          <w:bCs/>
          <w:sz w:val="20"/>
          <w:szCs w:val="20"/>
        </w:rPr>
        <w:t>he enhancement on secondary DRX group is not essential for R16/R17</w:t>
      </w:r>
      <w:r>
        <w:rPr>
          <w:b/>
          <w:bCs/>
          <w:sz w:val="20"/>
          <w:szCs w:val="20"/>
        </w:rPr>
        <w:t>.</w:t>
      </w:r>
    </w:p>
    <w:p w14:paraId="0B3BFDE5" w14:textId="629612B6" w:rsidR="005E0E25" w:rsidRDefault="005E0E25" w:rsidP="00B55104">
      <w:pPr>
        <w:rPr>
          <w:rFonts w:eastAsiaTheme="minorEastAsia"/>
          <w:sz w:val="20"/>
          <w:szCs w:val="20"/>
        </w:rPr>
      </w:pPr>
    </w:p>
    <w:p w14:paraId="3258BF89" w14:textId="77777777" w:rsidR="00DD33D8" w:rsidRPr="00DD33D8" w:rsidRDefault="00DD33D8" w:rsidP="00B55104">
      <w:pPr>
        <w:rPr>
          <w:rFonts w:eastAsiaTheme="minorEastAsia"/>
          <w:sz w:val="20"/>
          <w:szCs w:val="20"/>
        </w:rPr>
      </w:pPr>
    </w:p>
    <w:p w14:paraId="2D7792D6" w14:textId="5D23D07F" w:rsidR="00EA256C" w:rsidRPr="000137B8" w:rsidRDefault="00DE43FB" w:rsidP="00B55104">
      <w:pPr>
        <w:rPr>
          <w:rFonts w:eastAsiaTheme="minorEastAsia"/>
          <w:sz w:val="20"/>
          <w:szCs w:val="20"/>
        </w:rPr>
      </w:pPr>
      <w:r>
        <w:rPr>
          <w:rFonts w:eastAsiaTheme="minorEastAsia"/>
          <w:sz w:val="20"/>
          <w:szCs w:val="20"/>
        </w:rPr>
        <w:t>Even i</w:t>
      </w:r>
      <w:r w:rsidR="000137B8">
        <w:rPr>
          <w:rFonts w:eastAsiaTheme="minorEastAsia" w:hint="eastAsia"/>
          <w:sz w:val="20"/>
          <w:szCs w:val="20"/>
        </w:rPr>
        <w:t>f Proposal 1 is not agreeable, i.e.,</w:t>
      </w:r>
      <w:r w:rsidR="000137B8">
        <w:rPr>
          <w:rFonts w:eastAsiaTheme="minorEastAsia"/>
          <w:sz w:val="20"/>
          <w:szCs w:val="20"/>
        </w:rPr>
        <w:t xml:space="preserve"> the enhancement on </w:t>
      </w:r>
      <w:r w:rsidR="001D1840">
        <w:rPr>
          <w:rFonts w:eastAsiaTheme="minorEastAsia"/>
          <w:sz w:val="20"/>
          <w:szCs w:val="20"/>
        </w:rPr>
        <w:t xml:space="preserve">the </w:t>
      </w:r>
      <w:r w:rsidR="000137B8">
        <w:rPr>
          <w:rFonts w:eastAsiaTheme="minorEastAsia"/>
          <w:sz w:val="20"/>
          <w:szCs w:val="20"/>
        </w:rPr>
        <w:t>secondary DRX group is deemed necessary, we don’t think it is good to straightly jump into the solution proposed in R2-211146</w:t>
      </w:r>
      <w:r w:rsidR="005802CC">
        <w:rPr>
          <w:rFonts w:eastAsiaTheme="minorEastAsia"/>
          <w:sz w:val="20"/>
          <w:szCs w:val="20"/>
        </w:rPr>
        <w:t>0, and there are other aspects to be considered as well.</w:t>
      </w:r>
    </w:p>
    <w:p w14:paraId="64E9C967" w14:textId="77777777" w:rsidR="000137B8" w:rsidRDefault="000137B8" w:rsidP="00B55104">
      <w:pPr>
        <w:rPr>
          <w:sz w:val="20"/>
          <w:szCs w:val="20"/>
        </w:rPr>
      </w:pPr>
    </w:p>
    <w:p w14:paraId="11786F99" w14:textId="24D18EED" w:rsidR="005802CC" w:rsidRPr="005802CC" w:rsidRDefault="004367C7" w:rsidP="005802CC">
      <w:pPr>
        <w:rPr>
          <w:sz w:val="20"/>
          <w:szCs w:val="20"/>
        </w:rPr>
      </w:pPr>
      <w:r>
        <w:rPr>
          <w:sz w:val="20"/>
          <w:szCs w:val="20"/>
        </w:rPr>
        <w:t xml:space="preserve">First, </w:t>
      </w:r>
      <w:r w:rsidR="005802CC" w:rsidRPr="005802CC">
        <w:rPr>
          <w:sz w:val="20"/>
          <w:szCs w:val="20"/>
        </w:rPr>
        <w:t xml:space="preserve">even for the default DRX group, </w:t>
      </w:r>
      <w:r w:rsidR="00BD41BC">
        <w:rPr>
          <w:sz w:val="20"/>
          <w:szCs w:val="20"/>
        </w:rPr>
        <w:t xml:space="preserve">a </w:t>
      </w:r>
      <w:r w:rsidR="005802CC" w:rsidRPr="005802CC">
        <w:rPr>
          <w:sz w:val="20"/>
          <w:szCs w:val="20"/>
        </w:rPr>
        <w:t xml:space="preserve">scheduling </w:t>
      </w:r>
      <w:r w:rsidR="00BD41BC">
        <w:rPr>
          <w:sz w:val="20"/>
          <w:szCs w:val="20"/>
        </w:rPr>
        <w:t>delay</w:t>
      </w:r>
      <w:r w:rsidR="005802CC" w:rsidRPr="005802CC">
        <w:rPr>
          <w:sz w:val="20"/>
          <w:szCs w:val="20"/>
        </w:rPr>
        <w:t xml:space="preserve"> can happen if the default DRX group is in the long DRX cycle. Thus, the scheduling delay while in </w:t>
      </w:r>
      <w:r w:rsidR="00BD41BC">
        <w:rPr>
          <w:sz w:val="20"/>
          <w:szCs w:val="20"/>
        </w:rPr>
        <w:t>the l</w:t>
      </w:r>
      <w:r w:rsidR="005802CC" w:rsidRPr="005802CC">
        <w:rPr>
          <w:sz w:val="20"/>
          <w:szCs w:val="20"/>
        </w:rPr>
        <w:t>ong DRX cycle is not an issue specific to the secondary DRX group.</w:t>
      </w:r>
    </w:p>
    <w:p w14:paraId="545DE8AB" w14:textId="77777777" w:rsidR="005802CC" w:rsidRPr="005802CC" w:rsidRDefault="005802CC" w:rsidP="005802CC">
      <w:pPr>
        <w:rPr>
          <w:sz w:val="20"/>
          <w:szCs w:val="20"/>
        </w:rPr>
      </w:pPr>
    </w:p>
    <w:p w14:paraId="592A6045" w14:textId="150854AE" w:rsidR="005802CC" w:rsidRPr="005802CC" w:rsidRDefault="005802CC" w:rsidP="005802CC">
      <w:pPr>
        <w:rPr>
          <w:b/>
          <w:sz w:val="20"/>
          <w:szCs w:val="20"/>
        </w:rPr>
      </w:pPr>
      <w:r w:rsidRPr="005802CC">
        <w:rPr>
          <w:b/>
          <w:sz w:val="20"/>
          <w:szCs w:val="20"/>
        </w:rPr>
        <w:t>Observation</w:t>
      </w:r>
      <w:r>
        <w:rPr>
          <w:b/>
          <w:sz w:val="20"/>
          <w:szCs w:val="20"/>
        </w:rPr>
        <w:t xml:space="preserve"> </w:t>
      </w:r>
      <w:r w:rsidRPr="005802CC">
        <w:rPr>
          <w:b/>
          <w:sz w:val="20"/>
          <w:szCs w:val="20"/>
        </w:rPr>
        <w:t xml:space="preserve">4. </w:t>
      </w:r>
      <w:r w:rsidR="00AC696E" w:rsidRPr="00AC696E">
        <w:rPr>
          <w:rFonts w:eastAsia="Batang"/>
          <w:sz w:val="20"/>
          <w:szCs w:val="20"/>
        </w:rPr>
        <w:t>S</w:t>
      </w:r>
      <w:r w:rsidRPr="00AC696E">
        <w:rPr>
          <w:sz w:val="20"/>
          <w:szCs w:val="20"/>
        </w:rPr>
        <w:t>c</w:t>
      </w:r>
      <w:r w:rsidRPr="00DE43FB">
        <w:rPr>
          <w:sz w:val="20"/>
          <w:szCs w:val="20"/>
        </w:rPr>
        <w:t xml:space="preserve">heduling delay </w:t>
      </w:r>
      <w:r w:rsidR="004367C7">
        <w:rPr>
          <w:sz w:val="20"/>
          <w:szCs w:val="20"/>
        </w:rPr>
        <w:t xml:space="preserve">while using long DRX cycle </w:t>
      </w:r>
      <w:r w:rsidR="00DE43FB" w:rsidRPr="00DE43FB">
        <w:rPr>
          <w:sz w:val="20"/>
          <w:szCs w:val="20"/>
        </w:rPr>
        <w:t>can happen in</w:t>
      </w:r>
      <w:r w:rsidR="00F8158E">
        <w:rPr>
          <w:sz w:val="20"/>
          <w:szCs w:val="20"/>
        </w:rPr>
        <w:t xml:space="preserve"> </w:t>
      </w:r>
      <w:r w:rsidR="00DE43FB" w:rsidRPr="00DE43FB">
        <w:rPr>
          <w:sz w:val="20"/>
          <w:szCs w:val="20"/>
        </w:rPr>
        <w:t xml:space="preserve">default DRX group as well as </w:t>
      </w:r>
      <w:r w:rsidRPr="00DE43FB">
        <w:rPr>
          <w:sz w:val="20"/>
          <w:szCs w:val="20"/>
        </w:rPr>
        <w:t>secondary DRX group.</w:t>
      </w:r>
    </w:p>
    <w:p w14:paraId="501AB7DB" w14:textId="77777777" w:rsidR="005802CC" w:rsidRDefault="005802CC" w:rsidP="005802CC">
      <w:pPr>
        <w:rPr>
          <w:sz w:val="20"/>
          <w:szCs w:val="20"/>
        </w:rPr>
      </w:pPr>
    </w:p>
    <w:p w14:paraId="7D238C91" w14:textId="252D6AFF" w:rsidR="004312F2" w:rsidRDefault="000A4A4F" w:rsidP="005802CC">
      <w:pPr>
        <w:rPr>
          <w:sz w:val="20"/>
          <w:szCs w:val="20"/>
        </w:rPr>
      </w:pPr>
      <w:r w:rsidRPr="00B55104">
        <w:rPr>
          <w:sz w:val="20"/>
          <w:szCs w:val="20"/>
        </w:rPr>
        <w:t>According to TS 37.340</w:t>
      </w:r>
      <w:r w:rsidR="00DE43FB">
        <w:rPr>
          <w:sz w:val="20"/>
          <w:szCs w:val="20"/>
        </w:rPr>
        <w:t xml:space="preserve"> and TS 38.331, </w:t>
      </w:r>
      <w:r w:rsidR="00BD41BC">
        <w:rPr>
          <w:sz w:val="20"/>
          <w:szCs w:val="20"/>
        </w:rPr>
        <w:t>the</w:t>
      </w:r>
      <w:r w:rsidRPr="00B55104">
        <w:rPr>
          <w:sz w:val="20"/>
          <w:szCs w:val="20"/>
        </w:rPr>
        <w:t xml:space="preserve"> secondary DRX group </w:t>
      </w:r>
      <w:r w:rsidR="00DE43FB">
        <w:rPr>
          <w:sz w:val="20"/>
          <w:szCs w:val="20"/>
        </w:rPr>
        <w:t xml:space="preserve">can be configured in MR-DC scenarios. However, the SCell Activation command MAC CE applies only within the cell group. Thus, moving the secondary DRX group to Active Time based on the SCell Activation command MAC CE cannot work in MR-DC scenario. </w:t>
      </w:r>
    </w:p>
    <w:p w14:paraId="10205956" w14:textId="32D03AAC" w:rsidR="004312F2" w:rsidRDefault="004312F2" w:rsidP="00B55104">
      <w:pPr>
        <w:rPr>
          <w:rFonts w:eastAsiaTheme="minorEastAsia"/>
          <w:sz w:val="20"/>
          <w:szCs w:val="20"/>
        </w:rPr>
      </w:pPr>
    </w:p>
    <w:p w14:paraId="7967A595" w14:textId="3CC6FD30" w:rsidR="004312F2" w:rsidRDefault="004312F2" w:rsidP="00B55104">
      <w:pPr>
        <w:rPr>
          <w:sz w:val="20"/>
          <w:szCs w:val="20"/>
        </w:rPr>
      </w:pPr>
      <w:r w:rsidRPr="003144CD">
        <w:rPr>
          <w:b/>
          <w:bCs/>
          <w:sz w:val="20"/>
          <w:szCs w:val="20"/>
        </w:rPr>
        <w:t>Observation 5.</w:t>
      </w:r>
      <w:r>
        <w:rPr>
          <w:sz w:val="20"/>
          <w:szCs w:val="20"/>
        </w:rPr>
        <w:t xml:space="preserve"> </w:t>
      </w:r>
      <w:r w:rsidR="004367C7">
        <w:rPr>
          <w:sz w:val="20"/>
          <w:szCs w:val="20"/>
        </w:rPr>
        <w:t xml:space="preserve">Secondary DRX </w:t>
      </w:r>
      <w:r w:rsidR="00C14282">
        <w:rPr>
          <w:sz w:val="20"/>
          <w:szCs w:val="20"/>
        </w:rPr>
        <w:t xml:space="preserve">group </w:t>
      </w:r>
      <w:r w:rsidR="004367C7">
        <w:rPr>
          <w:sz w:val="20"/>
          <w:szCs w:val="20"/>
        </w:rPr>
        <w:t xml:space="preserve">can be configured in MR-DC as well as CA. </w:t>
      </w:r>
      <w:r w:rsidR="00DE43FB">
        <w:rPr>
          <w:sz w:val="20"/>
          <w:szCs w:val="20"/>
        </w:rPr>
        <w:t xml:space="preserve">Starting </w:t>
      </w:r>
      <w:r w:rsidR="00DE43FB" w:rsidRPr="00EE211A">
        <w:rPr>
          <w:i/>
          <w:iCs/>
          <w:sz w:val="20"/>
          <w:szCs w:val="20"/>
        </w:rPr>
        <w:t>drx-InactivityTimer</w:t>
      </w:r>
      <w:r w:rsidR="00DE43FB">
        <w:rPr>
          <w:sz w:val="20"/>
          <w:szCs w:val="20"/>
        </w:rPr>
        <w:t xml:space="preserve"> based on SCell Activation MAC CE is not applicable to MR-DC scenario. </w:t>
      </w:r>
    </w:p>
    <w:p w14:paraId="51117785" w14:textId="77777777" w:rsidR="00DE43FB" w:rsidRDefault="00DE43FB" w:rsidP="00B55104">
      <w:pPr>
        <w:rPr>
          <w:sz w:val="20"/>
          <w:szCs w:val="20"/>
        </w:rPr>
      </w:pPr>
    </w:p>
    <w:p w14:paraId="60694156" w14:textId="47AB9624" w:rsidR="00897C69" w:rsidRDefault="002A3AC0" w:rsidP="00B55104">
      <w:pPr>
        <w:rPr>
          <w:sz w:val="20"/>
          <w:szCs w:val="20"/>
        </w:rPr>
      </w:pPr>
      <w:r>
        <w:rPr>
          <w:sz w:val="20"/>
          <w:szCs w:val="20"/>
        </w:rPr>
        <w:t>From</w:t>
      </w:r>
      <w:r w:rsidR="00DE43FB">
        <w:rPr>
          <w:sz w:val="20"/>
          <w:szCs w:val="20"/>
        </w:rPr>
        <w:t xml:space="preserve"> </w:t>
      </w:r>
      <w:r>
        <w:rPr>
          <w:sz w:val="20"/>
          <w:szCs w:val="20"/>
        </w:rPr>
        <w:t>standardization perspective</w:t>
      </w:r>
      <w:r w:rsidR="00DE43FB">
        <w:rPr>
          <w:sz w:val="20"/>
          <w:szCs w:val="20"/>
        </w:rPr>
        <w:t xml:space="preserve">, it </w:t>
      </w:r>
      <w:r>
        <w:rPr>
          <w:sz w:val="20"/>
          <w:szCs w:val="20"/>
        </w:rPr>
        <w:t xml:space="preserve">is desirable </w:t>
      </w:r>
      <w:r w:rsidR="00897C69">
        <w:rPr>
          <w:sz w:val="20"/>
          <w:szCs w:val="20"/>
        </w:rPr>
        <w:t xml:space="preserve">not </w:t>
      </w:r>
      <w:r>
        <w:rPr>
          <w:sz w:val="20"/>
          <w:szCs w:val="20"/>
        </w:rPr>
        <w:t xml:space="preserve">to make any </w:t>
      </w:r>
      <w:r w:rsidR="00DE43FB">
        <w:rPr>
          <w:sz w:val="20"/>
          <w:szCs w:val="20"/>
        </w:rPr>
        <w:t xml:space="preserve">functional dependency </w:t>
      </w:r>
      <w:r>
        <w:rPr>
          <w:sz w:val="20"/>
          <w:szCs w:val="20"/>
        </w:rPr>
        <w:t xml:space="preserve">between two different functions to keep </w:t>
      </w:r>
      <w:r w:rsidR="00DE43FB">
        <w:rPr>
          <w:sz w:val="20"/>
          <w:szCs w:val="20"/>
        </w:rPr>
        <w:t xml:space="preserve">the functional </w:t>
      </w:r>
      <w:r w:rsidR="007F36BE">
        <w:rPr>
          <w:sz w:val="20"/>
          <w:szCs w:val="20"/>
        </w:rPr>
        <w:t xml:space="preserve">behavior and </w:t>
      </w:r>
      <w:r w:rsidR="00DE43FB">
        <w:rPr>
          <w:sz w:val="20"/>
          <w:szCs w:val="20"/>
        </w:rPr>
        <w:t xml:space="preserve">improvement independent and </w:t>
      </w:r>
      <w:r>
        <w:rPr>
          <w:sz w:val="20"/>
          <w:szCs w:val="20"/>
        </w:rPr>
        <w:t>clear</w:t>
      </w:r>
      <w:r w:rsidR="00BC5120">
        <w:rPr>
          <w:sz w:val="20"/>
          <w:szCs w:val="20"/>
        </w:rPr>
        <w:t>.</w:t>
      </w:r>
      <w:r>
        <w:rPr>
          <w:sz w:val="20"/>
          <w:szCs w:val="20"/>
        </w:rPr>
        <w:t xml:space="preserve"> </w:t>
      </w:r>
      <w:r w:rsidR="00897C69">
        <w:rPr>
          <w:sz w:val="20"/>
          <w:szCs w:val="20"/>
        </w:rPr>
        <w:t xml:space="preserve">However, the solution in R2-2111460 adds DRX function to </w:t>
      </w:r>
      <w:r w:rsidR="00550676">
        <w:rPr>
          <w:sz w:val="20"/>
          <w:szCs w:val="20"/>
        </w:rPr>
        <w:t>an</w:t>
      </w:r>
      <w:r w:rsidR="00897C69">
        <w:rPr>
          <w:sz w:val="20"/>
          <w:szCs w:val="20"/>
        </w:rPr>
        <w:t xml:space="preserve"> </w:t>
      </w:r>
      <w:proofErr w:type="spellStart"/>
      <w:r w:rsidR="00897C69">
        <w:rPr>
          <w:sz w:val="20"/>
          <w:szCs w:val="20"/>
        </w:rPr>
        <w:t>SCell</w:t>
      </w:r>
      <w:proofErr w:type="spellEnd"/>
      <w:r w:rsidR="00897C69">
        <w:rPr>
          <w:sz w:val="20"/>
          <w:szCs w:val="20"/>
        </w:rPr>
        <w:t xml:space="preserve"> Activation command. This may complicate the UE </w:t>
      </w:r>
      <w:r w:rsidR="007F36BE">
        <w:rPr>
          <w:sz w:val="20"/>
          <w:szCs w:val="20"/>
        </w:rPr>
        <w:t>behavior</w:t>
      </w:r>
      <w:r w:rsidR="00897C69">
        <w:rPr>
          <w:sz w:val="20"/>
          <w:szCs w:val="20"/>
        </w:rPr>
        <w:t xml:space="preserve"> because </w:t>
      </w:r>
      <w:r w:rsidR="007F36BE">
        <w:rPr>
          <w:sz w:val="20"/>
          <w:szCs w:val="20"/>
        </w:rPr>
        <w:t xml:space="preserve">the UE needs to check the contents of the MAC PDU to start </w:t>
      </w:r>
      <w:proofErr w:type="spellStart"/>
      <w:r w:rsidR="007F36BE" w:rsidRPr="00550676">
        <w:rPr>
          <w:i/>
          <w:iCs/>
          <w:sz w:val="20"/>
          <w:szCs w:val="20"/>
        </w:rPr>
        <w:t>drx-InactivityTimer</w:t>
      </w:r>
      <w:proofErr w:type="spellEnd"/>
      <w:r w:rsidR="007F36BE">
        <w:rPr>
          <w:sz w:val="20"/>
          <w:szCs w:val="20"/>
        </w:rPr>
        <w:t xml:space="preserve">. Currently, the UE starts </w:t>
      </w:r>
      <w:r w:rsidR="007F36BE" w:rsidRPr="00550676">
        <w:rPr>
          <w:i/>
          <w:iCs/>
          <w:sz w:val="20"/>
          <w:szCs w:val="20"/>
        </w:rPr>
        <w:t>drx-InactivityTimer</w:t>
      </w:r>
      <w:r w:rsidR="007F36BE">
        <w:rPr>
          <w:sz w:val="20"/>
          <w:szCs w:val="20"/>
        </w:rPr>
        <w:t xml:space="preserve"> if the scheduling is for </w:t>
      </w:r>
      <w:r w:rsidR="00550676">
        <w:rPr>
          <w:sz w:val="20"/>
          <w:szCs w:val="20"/>
        </w:rPr>
        <w:t xml:space="preserve">a </w:t>
      </w:r>
      <w:r w:rsidR="007F36BE">
        <w:rPr>
          <w:sz w:val="20"/>
          <w:szCs w:val="20"/>
        </w:rPr>
        <w:t xml:space="preserve">new transmission without checking the contents. Therefore, if </w:t>
      </w:r>
      <w:r w:rsidR="00550676">
        <w:rPr>
          <w:sz w:val="20"/>
          <w:szCs w:val="20"/>
        </w:rPr>
        <w:t xml:space="preserve">the </w:t>
      </w:r>
      <w:r w:rsidR="007F36BE">
        <w:rPr>
          <w:sz w:val="20"/>
          <w:szCs w:val="20"/>
        </w:rPr>
        <w:t xml:space="preserve">secondary DRX </w:t>
      </w:r>
      <w:r w:rsidR="00550676">
        <w:rPr>
          <w:sz w:val="20"/>
          <w:szCs w:val="20"/>
        </w:rPr>
        <w:t xml:space="preserve">group </w:t>
      </w:r>
      <w:r w:rsidR="007F36BE">
        <w:rPr>
          <w:sz w:val="20"/>
          <w:szCs w:val="20"/>
        </w:rPr>
        <w:t xml:space="preserve">needs to be moved to Active Time via the default DRX group or vice versa, it is desirable to consider a DRX-specific solution by not mixing </w:t>
      </w:r>
      <w:r w:rsidR="00550676">
        <w:rPr>
          <w:sz w:val="20"/>
          <w:szCs w:val="20"/>
        </w:rPr>
        <w:t xml:space="preserve">the </w:t>
      </w:r>
      <w:proofErr w:type="spellStart"/>
      <w:r w:rsidR="007F36BE">
        <w:rPr>
          <w:sz w:val="20"/>
          <w:szCs w:val="20"/>
        </w:rPr>
        <w:t>SCell</w:t>
      </w:r>
      <w:proofErr w:type="spellEnd"/>
      <w:r w:rsidR="007F36BE">
        <w:rPr>
          <w:sz w:val="20"/>
          <w:szCs w:val="20"/>
        </w:rPr>
        <w:t xml:space="preserve"> activation function. </w:t>
      </w:r>
    </w:p>
    <w:p w14:paraId="1F995317" w14:textId="77777777" w:rsidR="002A3AC0" w:rsidRDefault="002A3AC0" w:rsidP="00B55104">
      <w:pPr>
        <w:rPr>
          <w:sz w:val="20"/>
          <w:szCs w:val="20"/>
        </w:rPr>
      </w:pPr>
    </w:p>
    <w:p w14:paraId="20774A74" w14:textId="4BCDCE23" w:rsidR="004367C7" w:rsidRDefault="004367C7" w:rsidP="004367C7">
      <w:pPr>
        <w:rPr>
          <w:sz w:val="20"/>
          <w:szCs w:val="20"/>
        </w:rPr>
      </w:pPr>
      <w:r w:rsidRPr="003144CD">
        <w:rPr>
          <w:b/>
          <w:bCs/>
          <w:sz w:val="20"/>
          <w:szCs w:val="20"/>
        </w:rPr>
        <w:t xml:space="preserve">Observation </w:t>
      </w:r>
      <w:r>
        <w:rPr>
          <w:b/>
          <w:bCs/>
          <w:sz w:val="20"/>
          <w:szCs w:val="20"/>
        </w:rPr>
        <w:t>6</w:t>
      </w:r>
      <w:r w:rsidRPr="003144CD">
        <w:rPr>
          <w:b/>
          <w:bCs/>
          <w:sz w:val="20"/>
          <w:szCs w:val="20"/>
        </w:rPr>
        <w:t>.</w:t>
      </w:r>
      <w:r>
        <w:rPr>
          <w:sz w:val="20"/>
          <w:szCs w:val="20"/>
        </w:rPr>
        <w:t xml:space="preserve"> For independent and clear functional </w:t>
      </w:r>
      <w:r w:rsidR="007F36BE">
        <w:rPr>
          <w:sz w:val="20"/>
          <w:szCs w:val="20"/>
        </w:rPr>
        <w:t xml:space="preserve">behavior and </w:t>
      </w:r>
      <w:r>
        <w:rPr>
          <w:sz w:val="20"/>
          <w:szCs w:val="20"/>
        </w:rPr>
        <w:t xml:space="preserve">enhancement, </w:t>
      </w:r>
      <w:r w:rsidR="00BC5120">
        <w:rPr>
          <w:sz w:val="20"/>
          <w:szCs w:val="20"/>
        </w:rPr>
        <w:t>having</w:t>
      </w:r>
      <w:r>
        <w:rPr>
          <w:sz w:val="20"/>
          <w:szCs w:val="20"/>
        </w:rPr>
        <w:t xml:space="preserve"> any dependenc</w:t>
      </w:r>
      <w:r w:rsidR="00AC696E">
        <w:rPr>
          <w:sz w:val="20"/>
          <w:szCs w:val="20"/>
        </w:rPr>
        <w:t>y</w:t>
      </w:r>
      <w:r>
        <w:rPr>
          <w:sz w:val="20"/>
          <w:szCs w:val="20"/>
        </w:rPr>
        <w:t xml:space="preserve"> between two different function</w:t>
      </w:r>
      <w:r w:rsidR="001E4523">
        <w:rPr>
          <w:sz w:val="20"/>
          <w:szCs w:val="20"/>
        </w:rPr>
        <w:t>s</w:t>
      </w:r>
      <w:r>
        <w:rPr>
          <w:sz w:val="20"/>
          <w:szCs w:val="20"/>
        </w:rPr>
        <w:t xml:space="preserve">, which </w:t>
      </w:r>
      <w:r w:rsidR="00550676">
        <w:rPr>
          <w:sz w:val="20"/>
          <w:szCs w:val="20"/>
        </w:rPr>
        <w:t>is</w:t>
      </w:r>
      <w:r>
        <w:rPr>
          <w:sz w:val="20"/>
          <w:szCs w:val="20"/>
        </w:rPr>
        <w:t xml:space="preserve"> DRX and SCell activation in R2-2111460, should be avoided as much as possible. </w:t>
      </w:r>
    </w:p>
    <w:p w14:paraId="31CA23E8" w14:textId="2E0E1449" w:rsidR="004312F2" w:rsidRPr="004367C7" w:rsidRDefault="004312F2" w:rsidP="00B55104">
      <w:pPr>
        <w:rPr>
          <w:rFonts w:eastAsiaTheme="minorEastAsia"/>
          <w:sz w:val="20"/>
          <w:szCs w:val="20"/>
        </w:rPr>
      </w:pPr>
    </w:p>
    <w:p w14:paraId="2FD2532F" w14:textId="3C3A2B6E" w:rsidR="0098596A" w:rsidRDefault="004367C7" w:rsidP="0098596A">
      <w:pPr>
        <w:rPr>
          <w:sz w:val="20"/>
          <w:szCs w:val="20"/>
        </w:rPr>
      </w:pPr>
      <w:r>
        <w:rPr>
          <w:rFonts w:eastAsiaTheme="minorEastAsia" w:hint="eastAsia"/>
          <w:sz w:val="20"/>
          <w:szCs w:val="20"/>
        </w:rPr>
        <w:t>So far, it has</w:t>
      </w:r>
      <w:r w:rsidR="00BC5120">
        <w:rPr>
          <w:rFonts w:eastAsiaTheme="minorEastAsia"/>
          <w:sz w:val="20"/>
          <w:szCs w:val="20"/>
        </w:rPr>
        <w:t xml:space="preserve"> not</w:t>
      </w:r>
      <w:r>
        <w:rPr>
          <w:rFonts w:eastAsiaTheme="minorEastAsia" w:hint="eastAsia"/>
          <w:sz w:val="20"/>
          <w:szCs w:val="20"/>
        </w:rPr>
        <w:t xml:space="preserve"> been</w:t>
      </w:r>
      <w:r w:rsidR="00513128">
        <w:rPr>
          <w:rFonts w:eastAsiaTheme="minorEastAsia"/>
          <w:sz w:val="20"/>
          <w:szCs w:val="20"/>
        </w:rPr>
        <w:t xml:space="preserve"> clearly</w:t>
      </w:r>
      <w:r>
        <w:rPr>
          <w:rFonts w:eastAsiaTheme="minorEastAsia" w:hint="eastAsia"/>
          <w:sz w:val="20"/>
          <w:szCs w:val="20"/>
        </w:rPr>
        <w:t xml:space="preserve"> identified for which scenario the </w:t>
      </w:r>
      <w:r>
        <w:rPr>
          <w:rFonts w:eastAsiaTheme="minorEastAsia"/>
          <w:sz w:val="20"/>
          <w:szCs w:val="20"/>
        </w:rPr>
        <w:t>secondary</w:t>
      </w:r>
      <w:r>
        <w:rPr>
          <w:rFonts w:eastAsiaTheme="minorEastAsia" w:hint="eastAsia"/>
          <w:sz w:val="20"/>
          <w:szCs w:val="20"/>
        </w:rPr>
        <w:t xml:space="preserve"> </w:t>
      </w:r>
      <w:r>
        <w:rPr>
          <w:rFonts w:eastAsiaTheme="minorEastAsia"/>
          <w:sz w:val="20"/>
          <w:szCs w:val="20"/>
        </w:rPr>
        <w:t>DRX group needs to be activated so ungently. However, i</w:t>
      </w:r>
      <w:r w:rsidR="00BC5120">
        <w:rPr>
          <w:rFonts w:eastAsiaTheme="minorEastAsia"/>
          <w:sz w:val="20"/>
          <w:szCs w:val="20"/>
        </w:rPr>
        <w:t>f</w:t>
      </w:r>
      <w:r>
        <w:rPr>
          <w:rFonts w:eastAsiaTheme="minorEastAsia"/>
          <w:sz w:val="20"/>
          <w:szCs w:val="20"/>
        </w:rPr>
        <w:t xml:space="preserve"> XR traffic is </w:t>
      </w:r>
      <w:r w:rsidR="00513128">
        <w:rPr>
          <w:rFonts w:eastAsiaTheme="minorEastAsia"/>
          <w:sz w:val="20"/>
          <w:szCs w:val="20"/>
        </w:rPr>
        <w:t xml:space="preserve">assumed to be </w:t>
      </w:r>
      <w:r>
        <w:rPr>
          <w:rFonts w:eastAsiaTheme="minorEastAsia"/>
          <w:sz w:val="20"/>
          <w:szCs w:val="20"/>
        </w:rPr>
        <w:t xml:space="preserve">served on FR2 with </w:t>
      </w:r>
      <w:r w:rsidR="00EE211A">
        <w:rPr>
          <w:rFonts w:eastAsiaTheme="minorEastAsia"/>
          <w:sz w:val="20"/>
          <w:szCs w:val="20"/>
        </w:rPr>
        <w:t xml:space="preserve">the </w:t>
      </w:r>
      <w:r>
        <w:rPr>
          <w:rFonts w:eastAsiaTheme="minorEastAsia"/>
          <w:sz w:val="20"/>
          <w:szCs w:val="20"/>
        </w:rPr>
        <w:t xml:space="preserve">secondary DRX group, it would be </w:t>
      </w:r>
      <w:r w:rsidR="00897C69">
        <w:rPr>
          <w:rFonts w:eastAsiaTheme="minorEastAsia"/>
          <w:sz w:val="20"/>
          <w:szCs w:val="20"/>
        </w:rPr>
        <w:t>worthwhile</w:t>
      </w:r>
      <w:r>
        <w:rPr>
          <w:rFonts w:eastAsiaTheme="minorEastAsia"/>
          <w:sz w:val="20"/>
          <w:szCs w:val="20"/>
        </w:rPr>
        <w:t xml:space="preserve"> looking at possible </w:t>
      </w:r>
      <w:r w:rsidR="00BC5120">
        <w:rPr>
          <w:rFonts w:eastAsiaTheme="minorEastAsia"/>
          <w:sz w:val="20"/>
          <w:szCs w:val="20"/>
        </w:rPr>
        <w:t xml:space="preserve">DRX </w:t>
      </w:r>
      <w:r>
        <w:rPr>
          <w:rFonts w:eastAsiaTheme="minorEastAsia"/>
          <w:sz w:val="20"/>
          <w:szCs w:val="20"/>
        </w:rPr>
        <w:t>enhancement for faster scheduling with low power consumption</w:t>
      </w:r>
      <w:r w:rsidR="00513128">
        <w:rPr>
          <w:rFonts w:eastAsiaTheme="minorEastAsia"/>
          <w:sz w:val="20"/>
          <w:szCs w:val="20"/>
        </w:rPr>
        <w:t>. As</w:t>
      </w:r>
      <w:r w:rsidRPr="00897C69">
        <w:rPr>
          <w:rFonts w:eastAsiaTheme="minorEastAsia"/>
          <w:sz w:val="20"/>
          <w:szCs w:val="20"/>
        </w:rPr>
        <w:t xml:space="preserve"> </w:t>
      </w:r>
      <w:r w:rsidR="00F8432E" w:rsidRPr="00897C69">
        <w:rPr>
          <w:sz w:val="20"/>
          <w:szCs w:val="20"/>
        </w:rPr>
        <w:t xml:space="preserve">R18 </w:t>
      </w:r>
      <w:r w:rsidR="00B55104" w:rsidRPr="00897C69">
        <w:rPr>
          <w:sz w:val="20"/>
          <w:szCs w:val="20"/>
        </w:rPr>
        <w:t xml:space="preserve">XR </w:t>
      </w:r>
      <w:r w:rsidR="0098596A" w:rsidRPr="00897C69">
        <w:rPr>
          <w:sz w:val="20"/>
          <w:szCs w:val="20"/>
        </w:rPr>
        <w:t>objectives</w:t>
      </w:r>
      <w:r w:rsidR="0098596A">
        <w:rPr>
          <w:sz w:val="20"/>
          <w:szCs w:val="20"/>
        </w:rPr>
        <w:t xml:space="preserve"> </w:t>
      </w:r>
      <w:r>
        <w:rPr>
          <w:sz w:val="20"/>
          <w:szCs w:val="20"/>
        </w:rPr>
        <w:t xml:space="preserve">in RP-213587 already </w:t>
      </w:r>
      <w:r w:rsidR="00EE211A">
        <w:rPr>
          <w:sz w:val="20"/>
          <w:szCs w:val="20"/>
        </w:rPr>
        <w:t>include</w:t>
      </w:r>
      <w:r w:rsidR="0098596A">
        <w:rPr>
          <w:sz w:val="20"/>
          <w:szCs w:val="20"/>
        </w:rPr>
        <w:t xml:space="preserve"> XR-specific power saving</w:t>
      </w:r>
      <w:r w:rsidR="00513128">
        <w:rPr>
          <w:sz w:val="20"/>
          <w:szCs w:val="20"/>
        </w:rPr>
        <w:t xml:space="preserve">, </w:t>
      </w:r>
      <w:r w:rsidR="0098596A">
        <w:rPr>
          <w:sz w:val="20"/>
          <w:szCs w:val="20"/>
        </w:rPr>
        <w:t>RAN2 will s</w:t>
      </w:r>
      <w:r w:rsidR="0098596A" w:rsidRPr="0098596A">
        <w:rPr>
          <w:sz w:val="20"/>
          <w:szCs w:val="20"/>
        </w:rPr>
        <w:t xml:space="preserve">tudy </w:t>
      </w:r>
      <w:r w:rsidR="00CE1A3C">
        <w:rPr>
          <w:sz w:val="20"/>
          <w:szCs w:val="20"/>
        </w:rPr>
        <w:t>XR-specific</w:t>
      </w:r>
      <w:r w:rsidR="00CE1A3C" w:rsidRPr="0098596A">
        <w:rPr>
          <w:sz w:val="20"/>
          <w:szCs w:val="20"/>
        </w:rPr>
        <w:t xml:space="preserve"> </w:t>
      </w:r>
      <w:r w:rsidR="00CE1A3C">
        <w:rPr>
          <w:sz w:val="20"/>
          <w:szCs w:val="20"/>
        </w:rPr>
        <w:t>power-saving</w:t>
      </w:r>
      <w:r w:rsidR="00513128">
        <w:rPr>
          <w:sz w:val="20"/>
          <w:szCs w:val="20"/>
        </w:rPr>
        <w:t xml:space="preserve"> techniques and </w:t>
      </w:r>
      <w:r w:rsidR="00C14282">
        <w:rPr>
          <w:sz w:val="20"/>
          <w:szCs w:val="20"/>
        </w:rPr>
        <w:t xml:space="preserve">the </w:t>
      </w:r>
      <w:r w:rsidR="00513128">
        <w:rPr>
          <w:sz w:val="20"/>
          <w:szCs w:val="20"/>
        </w:rPr>
        <w:t xml:space="preserve">secondary DRX </w:t>
      </w:r>
      <w:r w:rsidR="00C14282">
        <w:rPr>
          <w:sz w:val="20"/>
          <w:szCs w:val="20"/>
        </w:rPr>
        <w:t xml:space="preserve">enhancement </w:t>
      </w:r>
      <w:r w:rsidR="00513128">
        <w:rPr>
          <w:sz w:val="20"/>
          <w:szCs w:val="20"/>
        </w:rPr>
        <w:t>may be considered as well</w:t>
      </w:r>
      <w:r w:rsidR="00153009">
        <w:rPr>
          <w:sz w:val="20"/>
          <w:szCs w:val="20"/>
        </w:rPr>
        <w:t xml:space="preserve"> if needed</w:t>
      </w:r>
      <w:r w:rsidR="004470FE">
        <w:rPr>
          <w:sz w:val="20"/>
          <w:szCs w:val="20"/>
        </w:rPr>
        <w:t>.</w:t>
      </w:r>
    </w:p>
    <w:p w14:paraId="7A521558" w14:textId="3A09BA18" w:rsidR="00093360" w:rsidRDefault="00093360" w:rsidP="0098596A">
      <w:pPr>
        <w:rPr>
          <w:sz w:val="20"/>
          <w:szCs w:val="20"/>
        </w:rPr>
      </w:pPr>
    </w:p>
    <w:p w14:paraId="2234FE91" w14:textId="1FC52F2E" w:rsidR="00093360" w:rsidRPr="00093360" w:rsidRDefault="00093360" w:rsidP="0098596A">
      <w:pPr>
        <w:rPr>
          <w:b/>
          <w:bCs/>
          <w:sz w:val="20"/>
          <w:szCs w:val="20"/>
        </w:rPr>
      </w:pPr>
      <w:r w:rsidRPr="00093360">
        <w:rPr>
          <w:b/>
          <w:bCs/>
          <w:sz w:val="20"/>
          <w:szCs w:val="20"/>
        </w:rPr>
        <w:t xml:space="preserve">Observation 7. </w:t>
      </w:r>
      <w:r w:rsidR="00513128">
        <w:rPr>
          <w:sz w:val="20"/>
          <w:szCs w:val="20"/>
        </w:rPr>
        <w:t xml:space="preserve">In R18 XR SI, XR-specific </w:t>
      </w:r>
      <w:r w:rsidR="00EE211A">
        <w:rPr>
          <w:sz w:val="20"/>
          <w:szCs w:val="20"/>
        </w:rPr>
        <w:t>power-saving</w:t>
      </w:r>
      <w:r w:rsidR="00513128">
        <w:rPr>
          <w:sz w:val="20"/>
          <w:szCs w:val="20"/>
        </w:rPr>
        <w:t xml:space="preserve"> techniques will be studied and </w:t>
      </w:r>
      <w:r w:rsidR="00F8158E">
        <w:rPr>
          <w:sz w:val="20"/>
          <w:szCs w:val="20"/>
        </w:rPr>
        <w:t xml:space="preserve">the </w:t>
      </w:r>
      <w:r w:rsidR="00C14282">
        <w:rPr>
          <w:sz w:val="20"/>
          <w:szCs w:val="20"/>
        </w:rPr>
        <w:t xml:space="preserve">secondary DRX enhancement </w:t>
      </w:r>
      <w:r w:rsidR="00513128">
        <w:rPr>
          <w:sz w:val="20"/>
          <w:szCs w:val="20"/>
        </w:rPr>
        <w:t>may be considered as well if needed</w:t>
      </w:r>
      <w:r w:rsidRPr="00F8432E">
        <w:rPr>
          <w:sz w:val="20"/>
          <w:szCs w:val="20"/>
        </w:rPr>
        <w:t>.</w:t>
      </w:r>
    </w:p>
    <w:p w14:paraId="10618887" w14:textId="7CFC944B" w:rsidR="00E1632D" w:rsidRPr="00C14282" w:rsidRDefault="00E1632D" w:rsidP="00B55104">
      <w:pPr>
        <w:rPr>
          <w:rFonts w:eastAsiaTheme="minorEastAsia"/>
          <w:sz w:val="20"/>
          <w:szCs w:val="20"/>
        </w:rPr>
      </w:pPr>
    </w:p>
    <w:p w14:paraId="2E39DDBE" w14:textId="6E189270" w:rsidR="00F8432E" w:rsidRDefault="00153009" w:rsidP="00B55104">
      <w:pPr>
        <w:rPr>
          <w:rFonts w:eastAsiaTheme="minorEastAsia"/>
          <w:sz w:val="20"/>
          <w:szCs w:val="20"/>
        </w:rPr>
      </w:pPr>
      <w:r>
        <w:rPr>
          <w:rFonts w:eastAsiaTheme="minorEastAsia"/>
          <w:sz w:val="20"/>
          <w:szCs w:val="20"/>
        </w:rPr>
        <w:t xml:space="preserve">With the observations above, we propose </w:t>
      </w:r>
      <w:r w:rsidR="00DD33D8">
        <w:rPr>
          <w:rFonts w:eastAsiaTheme="minorEastAsia"/>
          <w:sz w:val="20"/>
          <w:szCs w:val="20"/>
        </w:rPr>
        <w:t>that:</w:t>
      </w:r>
      <w:r>
        <w:rPr>
          <w:rFonts w:eastAsiaTheme="minorEastAsia"/>
          <w:sz w:val="20"/>
          <w:szCs w:val="20"/>
        </w:rPr>
        <w:t xml:space="preserve"> </w:t>
      </w:r>
    </w:p>
    <w:p w14:paraId="3FB6C04F" w14:textId="77777777" w:rsidR="00C14282" w:rsidRPr="00333D41" w:rsidRDefault="00C14282" w:rsidP="00B55104">
      <w:pPr>
        <w:rPr>
          <w:rFonts w:eastAsiaTheme="minorEastAsia"/>
          <w:sz w:val="20"/>
          <w:szCs w:val="20"/>
        </w:rPr>
      </w:pPr>
    </w:p>
    <w:p w14:paraId="541F3595" w14:textId="49F303C8" w:rsidR="00E1632D" w:rsidRPr="004470FE" w:rsidRDefault="000A4A4F" w:rsidP="00B55104">
      <w:pPr>
        <w:rPr>
          <w:b/>
          <w:sz w:val="20"/>
          <w:szCs w:val="20"/>
        </w:rPr>
      </w:pPr>
      <w:r>
        <w:rPr>
          <w:b/>
          <w:sz w:val="20"/>
          <w:szCs w:val="20"/>
        </w:rPr>
        <w:t xml:space="preserve">Proposal </w:t>
      </w:r>
      <w:r w:rsidR="001B12C2">
        <w:rPr>
          <w:b/>
          <w:sz w:val="20"/>
          <w:szCs w:val="20"/>
        </w:rPr>
        <w:t>2</w:t>
      </w:r>
      <w:r w:rsidR="004F0D63">
        <w:rPr>
          <w:b/>
          <w:sz w:val="20"/>
          <w:szCs w:val="20"/>
        </w:rPr>
        <w:t>:</w:t>
      </w:r>
      <w:r>
        <w:rPr>
          <w:b/>
          <w:sz w:val="20"/>
          <w:szCs w:val="20"/>
        </w:rPr>
        <w:t xml:space="preserve"> </w:t>
      </w:r>
      <w:r w:rsidR="008E0787">
        <w:rPr>
          <w:b/>
          <w:sz w:val="20"/>
          <w:szCs w:val="20"/>
        </w:rPr>
        <w:t>If the scheduling delay in lon</w:t>
      </w:r>
      <w:r w:rsidR="00455ADF">
        <w:rPr>
          <w:b/>
          <w:sz w:val="20"/>
          <w:szCs w:val="20"/>
        </w:rPr>
        <w:t>g DRX cycle is a problem, it can be discussed in R18</w:t>
      </w:r>
      <w:r w:rsidR="008E0787">
        <w:rPr>
          <w:b/>
          <w:sz w:val="20"/>
          <w:szCs w:val="20"/>
        </w:rPr>
        <w:t xml:space="preserve"> by considering targeted scenarios, use cases, and standardization </w:t>
      </w:r>
      <w:r w:rsidR="00EE211A">
        <w:rPr>
          <w:b/>
          <w:sz w:val="20"/>
          <w:szCs w:val="20"/>
        </w:rPr>
        <w:t>principles</w:t>
      </w:r>
      <w:r w:rsidR="008E0787">
        <w:rPr>
          <w:b/>
          <w:sz w:val="20"/>
          <w:szCs w:val="20"/>
        </w:rPr>
        <w:t xml:space="preserve">. </w:t>
      </w:r>
    </w:p>
    <w:p w14:paraId="4C578812" w14:textId="77777777" w:rsidR="00E1632D" w:rsidRPr="004470FE" w:rsidRDefault="00E1632D" w:rsidP="00B55104">
      <w:pPr>
        <w:rPr>
          <w:b/>
          <w:sz w:val="20"/>
          <w:szCs w:val="20"/>
        </w:rPr>
      </w:pPr>
    </w:p>
    <w:p w14:paraId="550BE671" w14:textId="77777777" w:rsidR="00E1632D" w:rsidRDefault="000A4A4F">
      <w:pPr>
        <w:pStyle w:val="Heading1"/>
        <w:tabs>
          <w:tab w:val="left" w:pos="2268"/>
        </w:tabs>
        <w:ind w:right="-99"/>
      </w:pPr>
      <w:r>
        <w:t>3</w:t>
      </w:r>
      <w:r>
        <w:tab/>
        <w:t>Conclusion</w:t>
      </w:r>
    </w:p>
    <w:p w14:paraId="4D9A3534" w14:textId="77777777" w:rsidR="00AC696E" w:rsidRPr="008A6EAC" w:rsidRDefault="00AC696E" w:rsidP="00AC696E">
      <w:pPr>
        <w:rPr>
          <w:sz w:val="20"/>
          <w:szCs w:val="20"/>
        </w:rPr>
      </w:pPr>
      <w:r w:rsidRPr="00E766AC">
        <w:rPr>
          <w:b/>
          <w:bCs/>
          <w:sz w:val="20"/>
          <w:szCs w:val="20"/>
        </w:rPr>
        <w:t xml:space="preserve">Observation 1. </w:t>
      </w:r>
      <w:r>
        <w:rPr>
          <w:sz w:val="20"/>
          <w:szCs w:val="20"/>
        </w:rPr>
        <w:t>S</w:t>
      </w:r>
      <w:r w:rsidRPr="008A6EAC">
        <w:rPr>
          <w:sz w:val="20"/>
          <w:szCs w:val="20"/>
        </w:rPr>
        <w:t xml:space="preserve">econdary DRX group </w:t>
      </w:r>
      <w:r>
        <w:rPr>
          <w:sz w:val="20"/>
          <w:szCs w:val="20"/>
        </w:rPr>
        <w:t>is</w:t>
      </w:r>
      <w:r w:rsidRPr="008A6EAC">
        <w:rPr>
          <w:sz w:val="20"/>
          <w:szCs w:val="20"/>
        </w:rPr>
        <w:t xml:space="preserve"> aimed at UE power-saving</w:t>
      </w:r>
      <w:r>
        <w:rPr>
          <w:sz w:val="20"/>
          <w:szCs w:val="20"/>
        </w:rPr>
        <w:t>. Latency and throughput were not important considerations</w:t>
      </w:r>
      <w:r w:rsidRPr="008A6EAC">
        <w:rPr>
          <w:sz w:val="20"/>
          <w:szCs w:val="20"/>
        </w:rPr>
        <w:t xml:space="preserve">. </w:t>
      </w:r>
      <w:r>
        <w:rPr>
          <w:sz w:val="20"/>
          <w:szCs w:val="20"/>
        </w:rPr>
        <w:t xml:space="preserve"> </w:t>
      </w:r>
    </w:p>
    <w:p w14:paraId="5EA75DC5" w14:textId="55795A7E" w:rsidR="00AC696E" w:rsidRPr="00AC696E" w:rsidRDefault="00AC696E" w:rsidP="00AC696E">
      <w:pPr>
        <w:rPr>
          <w:b/>
          <w:bCs/>
          <w:sz w:val="20"/>
          <w:szCs w:val="20"/>
        </w:rPr>
      </w:pPr>
      <w:r w:rsidRPr="00B5385D">
        <w:rPr>
          <w:b/>
          <w:bCs/>
          <w:sz w:val="20"/>
          <w:szCs w:val="20"/>
        </w:rPr>
        <w:t xml:space="preserve">Observation </w:t>
      </w:r>
      <w:r>
        <w:rPr>
          <w:b/>
          <w:bCs/>
          <w:sz w:val="20"/>
          <w:szCs w:val="20"/>
        </w:rPr>
        <w:t>2</w:t>
      </w:r>
      <w:r w:rsidRPr="00B5385D">
        <w:rPr>
          <w:b/>
          <w:bCs/>
          <w:sz w:val="20"/>
          <w:szCs w:val="20"/>
        </w:rPr>
        <w:t xml:space="preserve">. </w:t>
      </w:r>
      <w:r>
        <w:rPr>
          <w:sz w:val="20"/>
          <w:szCs w:val="20"/>
        </w:rPr>
        <w:t>Network can keep secondary DRX group in use of short DRX cycle by sending DRX command MAC CE occasionally if scheduling delay is a problem in secondary DRX group.</w:t>
      </w:r>
    </w:p>
    <w:p w14:paraId="55C53F68" w14:textId="77777777" w:rsidR="00AC696E" w:rsidRPr="00202F4A" w:rsidRDefault="00AC696E" w:rsidP="00AC696E">
      <w:pPr>
        <w:rPr>
          <w:b/>
          <w:bCs/>
          <w:sz w:val="20"/>
          <w:szCs w:val="20"/>
        </w:rPr>
      </w:pPr>
      <w:r w:rsidRPr="00202F4A">
        <w:rPr>
          <w:b/>
          <w:bCs/>
          <w:sz w:val="20"/>
          <w:szCs w:val="20"/>
        </w:rPr>
        <w:t xml:space="preserve">Observation </w:t>
      </w:r>
      <w:r>
        <w:rPr>
          <w:b/>
          <w:bCs/>
          <w:sz w:val="20"/>
          <w:szCs w:val="20"/>
        </w:rPr>
        <w:t>3</w:t>
      </w:r>
      <w:r w:rsidRPr="00202F4A">
        <w:rPr>
          <w:b/>
          <w:bCs/>
          <w:sz w:val="20"/>
          <w:szCs w:val="20"/>
        </w:rPr>
        <w:t xml:space="preserve">. </w:t>
      </w:r>
      <w:r>
        <w:rPr>
          <w:sz w:val="20"/>
          <w:szCs w:val="20"/>
        </w:rPr>
        <w:t>N</w:t>
      </w:r>
      <w:r w:rsidRPr="00BA3AC1">
        <w:rPr>
          <w:sz w:val="20"/>
          <w:szCs w:val="20"/>
        </w:rPr>
        <w:t xml:space="preserve">etwork </w:t>
      </w:r>
      <w:r>
        <w:rPr>
          <w:sz w:val="20"/>
          <w:szCs w:val="20"/>
        </w:rPr>
        <w:t>can</w:t>
      </w:r>
      <w:r w:rsidRPr="00BA3AC1">
        <w:rPr>
          <w:sz w:val="20"/>
          <w:szCs w:val="20"/>
        </w:rPr>
        <w:t xml:space="preserve"> schedule the resource </w:t>
      </w:r>
      <w:r>
        <w:rPr>
          <w:sz w:val="20"/>
          <w:szCs w:val="20"/>
        </w:rPr>
        <w:t>more aggressively to increase throughput even if a delay is happened in secondary DRX group.</w:t>
      </w:r>
    </w:p>
    <w:p w14:paraId="6D6E69E2" w14:textId="77777777" w:rsidR="00AC696E" w:rsidRPr="00EA256C" w:rsidRDefault="00AC696E" w:rsidP="00AC696E">
      <w:pPr>
        <w:rPr>
          <w:b/>
          <w:bCs/>
          <w:sz w:val="20"/>
          <w:szCs w:val="20"/>
        </w:rPr>
      </w:pPr>
      <w:r w:rsidRPr="00EA256C">
        <w:rPr>
          <w:b/>
          <w:bCs/>
          <w:sz w:val="20"/>
          <w:szCs w:val="20"/>
        </w:rPr>
        <w:t>Proposal 1</w:t>
      </w:r>
      <w:r>
        <w:rPr>
          <w:b/>
          <w:bCs/>
          <w:sz w:val="20"/>
          <w:szCs w:val="20"/>
        </w:rPr>
        <w:t>:</w:t>
      </w:r>
      <w:r w:rsidRPr="00EA256C">
        <w:rPr>
          <w:b/>
          <w:bCs/>
          <w:sz w:val="20"/>
          <w:szCs w:val="20"/>
        </w:rPr>
        <w:t xml:space="preserve"> </w:t>
      </w:r>
      <w:r>
        <w:rPr>
          <w:b/>
          <w:bCs/>
          <w:sz w:val="20"/>
          <w:szCs w:val="20"/>
        </w:rPr>
        <w:t>T</w:t>
      </w:r>
      <w:r w:rsidRPr="000137B8">
        <w:rPr>
          <w:b/>
          <w:bCs/>
          <w:sz w:val="20"/>
          <w:szCs w:val="20"/>
        </w:rPr>
        <w:t>he enhancement on secondary DRX group is not essential for R16/R17</w:t>
      </w:r>
      <w:r>
        <w:rPr>
          <w:b/>
          <w:bCs/>
          <w:sz w:val="20"/>
          <w:szCs w:val="20"/>
        </w:rPr>
        <w:t>.</w:t>
      </w:r>
    </w:p>
    <w:p w14:paraId="3FE0F990" w14:textId="77777777" w:rsidR="00AC696E" w:rsidRDefault="00AC696E" w:rsidP="00AC696E">
      <w:pPr>
        <w:rPr>
          <w:rFonts w:eastAsiaTheme="minorEastAsia"/>
          <w:sz w:val="20"/>
          <w:szCs w:val="20"/>
        </w:rPr>
      </w:pPr>
    </w:p>
    <w:p w14:paraId="62DE80B1" w14:textId="77777777" w:rsidR="00AC696E" w:rsidRPr="005802CC" w:rsidRDefault="00AC696E" w:rsidP="00AC696E">
      <w:pPr>
        <w:rPr>
          <w:b/>
          <w:sz w:val="20"/>
          <w:szCs w:val="20"/>
        </w:rPr>
      </w:pPr>
      <w:r w:rsidRPr="005802CC">
        <w:rPr>
          <w:b/>
          <w:sz w:val="20"/>
          <w:szCs w:val="20"/>
        </w:rPr>
        <w:t>Observation</w:t>
      </w:r>
      <w:r>
        <w:rPr>
          <w:b/>
          <w:sz w:val="20"/>
          <w:szCs w:val="20"/>
        </w:rPr>
        <w:t xml:space="preserve"> </w:t>
      </w:r>
      <w:r w:rsidRPr="005802CC">
        <w:rPr>
          <w:b/>
          <w:sz w:val="20"/>
          <w:szCs w:val="20"/>
        </w:rPr>
        <w:t xml:space="preserve">4. </w:t>
      </w:r>
      <w:r w:rsidRPr="00AC696E">
        <w:rPr>
          <w:rFonts w:eastAsia="Batang"/>
          <w:sz w:val="20"/>
          <w:szCs w:val="20"/>
        </w:rPr>
        <w:t>S</w:t>
      </w:r>
      <w:r w:rsidRPr="00AC696E">
        <w:rPr>
          <w:sz w:val="20"/>
          <w:szCs w:val="20"/>
        </w:rPr>
        <w:t>c</w:t>
      </w:r>
      <w:r w:rsidRPr="00DE43FB">
        <w:rPr>
          <w:sz w:val="20"/>
          <w:szCs w:val="20"/>
        </w:rPr>
        <w:t xml:space="preserve">heduling delay </w:t>
      </w:r>
      <w:r>
        <w:rPr>
          <w:sz w:val="20"/>
          <w:szCs w:val="20"/>
        </w:rPr>
        <w:t xml:space="preserve">while using long DRX cycle </w:t>
      </w:r>
      <w:r w:rsidRPr="00DE43FB">
        <w:rPr>
          <w:sz w:val="20"/>
          <w:szCs w:val="20"/>
        </w:rPr>
        <w:t>can happen in</w:t>
      </w:r>
      <w:r>
        <w:rPr>
          <w:sz w:val="20"/>
          <w:szCs w:val="20"/>
        </w:rPr>
        <w:t xml:space="preserve"> </w:t>
      </w:r>
      <w:r w:rsidRPr="00DE43FB">
        <w:rPr>
          <w:sz w:val="20"/>
          <w:szCs w:val="20"/>
        </w:rPr>
        <w:t>default DRX group as well as secondary DRX group.</w:t>
      </w:r>
    </w:p>
    <w:p w14:paraId="5C6C86CA" w14:textId="2B917D6D" w:rsidR="00AC696E" w:rsidRDefault="00AC696E" w:rsidP="00AC696E">
      <w:pPr>
        <w:rPr>
          <w:sz w:val="20"/>
          <w:szCs w:val="20"/>
        </w:rPr>
      </w:pPr>
      <w:r w:rsidRPr="003144CD">
        <w:rPr>
          <w:b/>
          <w:bCs/>
          <w:sz w:val="20"/>
          <w:szCs w:val="20"/>
        </w:rPr>
        <w:t>Observation 5.</w:t>
      </w:r>
      <w:r>
        <w:rPr>
          <w:sz w:val="20"/>
          <w:szCs w:val="20"/>
        </w:rPr>
        <w:t xml:space="preserve"> Secondary DRX group can be configured in MR-DC as well as CA. Starting </w:t>
      </w:r>
      <w:proofErr w:type="spellStart"/>
      <w:r w:rsidRPr="00EE211A">
        <w:rPr>
          <w:i/>
          <w:iCs/>
          <w:sz w:val="20"/>
          <w:szCs w:val="20"/>
        </w:rPr>
        <w:t>drx-InactivityTimer</w:t>
      </w:r>
      <w:proofErr w:type="spellEnd"/>
      <w:r>
        <w:rPr>
          <w:sz w:val="20"/>
          <w:szCs w:val="20"/>
        </w:rPr>
        <w:t xml:space="preserve"> based on </w:t>
      </w:r>
      <w:proofErr w:type="spellStart"/>
      <w:r>
        <w:rPr>
          <w:sz w:val="20"/>
          <w:szCs w:val="20"/>
        </w:rPr>
        <w:t>SCell</w:t>
      </w:r>
      <w:proofErr w:type="spellEnd"/>
      <w:r>
        <w:rPr>
          <w:sz w:val="20"/>
          <w:szCs w:val="20"/>
        </w:rPr>
        <w:t xml:space="preserve"> Activation MAC CE is not applicable to MR-DC scenario. </w:t>
      </w:r>
    </w:p>
    <w:p w14:paraId="4A7BE1E7" w14:textId="77777777" w:rsidR="00AC696E" w:rsidRDefault="00AC696E" w:rsidP="00AC696E">
      <w:pPr>
        <w:rPr>
          <w:sz w:val="20"/>
          <w:szCs w:val="20"/>
        </w:rPr>
      </w:pPr>
      <w:r w:rsidRPr="003144CD">
        <w:rPr>
          <w:b/>
          <w:bCs/>
          <w:sz w:val="20"/>
          <w:szCs w:val="20"/>
        </w:rPr>
        <w:t xml:space="preserve">Observation </w:t>
      </w:r>
      <w:r>
        <w:rPr>
          <w:b/>
          <w:bCs/>
          <w:sz w:val="20"/>
          <w:szCs w:val="20"/>
        </w:rPr>
        <w:t>6</w:t>
      </w:r>
      <w:r w:rsidRPr="003144CD">
        <w:rPr>
          <w:b/>
          <w:bCs/>
          <w:sz w:val="20"/>
          <w:szCs w:val="20"/>
        </w:rPr>
        <w:t>.</w:t>
      </w:r>
      <w:r>
        <w:rPr>
          <w:sz w:val="20"/>
          <w:szCs w:val="20"/>
        </w:rPr>
        <w:t xml:space="preserve"> For independent and clear functional behavior and enhancement, having any dependency between two different functions, which is DRX and </w:t>
      </w:r>
      <w:proofErr w:type="spellStart"/>
      <w:r>
        <w:rPr>
          <w:sz w:val="20"/>
          <w:szCs w:val="20"/>
        </w:rPr>
        <w:t>SCell</w:t>
      </w:r>
      <w:proofErr w:type="spellEnd"/>
      <w:r>
        <w:rPr>
          <w:sz w:val="20"/>
          <w:szCs w:val="20"/>
        </w:rPr>
        <w:t xml:space="preserve"> activation in R2-2111460, should be avoided as much as possible. </w:t>
      </w:r>
    </w:p>
    <w:p w14:paraId="0D9631B0" w14:textId="77777777" w:rsidR="00AC696E" w:rsidRPr="004367C7" w:rsidRDefault="00AC696E" w:rsidP="00AC696E">
      <w:pPr>
        <w:rPr>
          <w:rFonts w:eastAsiaTheme="minorEastAsia"/>
          <w:sz w:val="20"/>
          <w:szCs w:val="20"/>
        </w:rPr>
      </w:pPr>
    </w:p>
    <w:p w14:paraId="54D316B8" w14:textId="7B6F9618" w:rsidR="00AC696E" w:rsidRPr="0011500E" w:rsidRDefault="00AC696E" w:rsidP="00AC696E">
      <w:pPr>
        <w:rPr>
          <w:b/>
          <w:bCs/>
          <w:sz w:val="20"/>
          <w:szCs w:val="20"/>
        </w:rPr>
      </w:pPr>
      <w:r w:rsidRPr="00093360">
        <w:rPr>
          <w:b/>
          <w:bCs/>
          <w:sz w:val="20"/>
          <w:szCs w:val="20"/>
        </w:rPr>
        <w:lastRenderedPageBreak/>
        <w:t xml:space="preserve">Observation 7. </w:t>
      </w:r>
      <w:r>
        <w:rPr>
          <w:sz w:val="20"/>
          <w:szCs w:val="20"/>
        </w:rPr>
        <w:t>In R18 XR SI, XR-specific power-saving techniques will be studied and the secondary DRX enhancement may be considered as well if needed</w:t>
      </w:r>
      <w:r w:rsidRPr="00F8432E">
        <w:rPr>
          <w:sz w:val="20"/>
          <w:szCs w:val="20"/>
        </w:rPr>
        <w:t>.</w:t>
      </w:r>
    </w:p>
    <w:p w14:paraId="411B758C" w14:textId="77777777" w:rsidR="00AC696E" w:rsidRPr="004470FE" w:rsidRDefault="00AC696E" w:rsidP="00AC696E">
      <w:pPr>
        <w:rPr>
          <w:b/>
          <w:sz w:val="20"/>
          <w:szCs w:val="20"/>
        </w:rPr>
      </w:pPr>
      <w:r>
        <w:rPr>
          <w:b/>
          <w:sz w:val="20"/>
          <w:szCs w:val="20"/>
        </w:rPr>
        <w:t xml:space="preserve">Proposal 2: If the scheduling delay in long DRX cycle is a problem, it can be discussed in R18 by considering targeted scenarios, use cases, and standardization principles. </w:t>
      </w:r>
    </w:p>
    <w:p w14:paraId="678E6B8B" w14:textId="77777777" w:rsidR="00E1632D" w:rsidRPr="00B47ABD" w:rsidRDefault="00E1632D">
      <w:pPr>
        <w:rPr>
          <w:sz w:val="20"/>
          <w:szCs w:val="20"/>
        </w:rPr>
      </w:pPr>
    </w:p>
    <w:p w14:paraId="5DC09F77" w14:textId="77777777" w:rsidR="00E1632D" w:rsidRDefault="000A4A4F">
      <w:pPr>
        <w:pStyle w:val="Heading1"/>
        <w:tabs>
          <w:tab w:val="left" w:pos="2268"/>
          <w:tab w:val="left" w:pos="3686"/>
        </w:tabs>
        <w:ind w:right="-99"/>
      </w:pPr>
      <w:r>
        <w:t>4</w:t>
      </w:r>
      <w:r>
        <w:tab/>
        <w:t>Reference</w:t>
      </w:r>
    </w:p>
    <w:p w14:paraId="41B28E9E" w14:textId="77777777" w:rsidR="00E1632D" w:rsidRPr="000A4A4F" w:rsidRDefault="000A4A4F">
      <w:pPr>
        <w:numPr>
          <w:ilvl w:val="0"/>
          <w:numId w:val="1"/>
        </w:numPr>
        <w:spacing w:after="180" w:line="259" w:lineRule="auto"/>
        <w:rPr>
          <w:sz w:val="20"/>
          <w:szCs w:val="20"/>
          <w:lang w:val="de-DE"/>
        </w:rPr>
      </w:pPr>
      <w:r w:rsidRPr="000A4A4F">
        <w:rPr>
          <w:sz w:val="20"/>
          <w:szCs w:val="20"/>
          <w:lang w:val="de-DE"/>
        </w:rPr>
        <w:t>R2-2111460 Secondary DRX enhancements - Verizon, Ericsson, Qualcomm Inc, T-Mobile USA, Deutsche Telekom</w:t>
      </w:r>
    </w:p>
    <w:p w14:paraId="7A161CEF" w14:textId="77777777" w:rsidR="00E1632D" w:rsidRPr="000A4A4F" w:rsidRDefault="000A4A4F">
      <w:pPr>
        <w:numPr>
          <w:ilvl w:val="0"/>
          <w:numId w:val="1"/>
        </w:numPr>
        <w:spacing w:before="280" w:after="280"/>
        <w:rPr>
          <w:sz w:val="20"/>
          <w:szCs w:val="20"/>
          <w:lang w:val="de-DE"/>
        </w:rPr>
      </w:pPr>
      <w:r w:rsidRPr="000A4A4F">
        <w:rPr>
          <w:sz w:val="20"/>
          <w:szCs w:val="20"/>
          <w:lang w:val="de-DE"/>
        </w:rPr>
        <w:t>R2-2111537 [AT116-e][049][TEI17] TEI17 NR proposals</w:t>
      </w:r>
    </w:p>
    <w:p w14:paraId="3D60FF5A" w14:textId="77777777" w:rsidR="00E1632D" w:rsidRPr="000A4A4F" w:rsidRDefault="00E1632D">
      <w:pPr>
        <w:spacing w:after="180" w:line="259" w:lineRule="auto"/>
        <w:rPr>
          <w:sz w:val="20"/>
          <w:szCs w:val="20"/>
          <w:lang w:val="de-DE"/>
        </w:rPr>
      </w:pPr>
    </w:p>
    <w:sectPr w:rsidR="00E1632D" w:rsidRPr="000A4A4F">
      <w:footerReference w:type="default" r:id="rId10"/>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B8525" w14:textId="77777777" w:rsidR="001B18D3" w:rsidRDefault="001B18D3" w:rsidP="0095112D">
      <w:r>
        <w:separator/>
      </w:r>
    </w:p>
  </w:endnote>
  <w:endnote w:type="continuationSeparator" w:id="0">
    <w:p w14:paraId="118B408E" w14:textId="77777777" w:rsidR="001B18D3" w:rsidRDefault="001B18D3" w:rsidP="0095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9CC9" w14:textId="4E8C2962" w:rsidR="0095112D" w:rsidRDefault="0095112D">
    <w:pPr>
      <w:pStyle w:val="Footer"/>
      <w:rPr>
        <w:lang w:eastAsia="ko-KR"/>
      </w:rPr>
    </w:pPr>
    <w:r>
      <w:rPr>
        <w:rFonts w:hint="eastAsia"/>
        <w:lang w:eastAsia="ko-KR"/>
      </w:rPr>
      <w:t>p</w:t>
    </w:r>
    <w:r>
      <w:rPr>
        <w:lang w:eastAsia="ko-KR"/>
      </w:rPr>
      <w:t>ad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4DA6A" w14:textId="77777777" w:rsidR="001B18D3" w:rsidRDefault="001B18D3" w:rsidP="0095112D">
      <w:r>
        <w:separator/>
      </w:r>
    </w:p>
  </w:footnote>
  <w:footnote w:type="continuationSeparator" w:id="0">
    <w:p w14:paraId="420ADF2F" w14:textId="77777777" w:rsidR="001B18D3" w:rsidRDefault="001B18D3" w:rsidP="00951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7E5"/>
    <w:multiLevelType w:val="multilevel"/>
    <w:tmpl w:val="395AAE7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1DAA28CC"/>
    <w:multiLevelType w:val="hybridMultilevel"/>
    <w:tmpl w:val="7EAE3992"/>
    <w:lvl w:ilvl="0" w:tplc="FEBE8B7C">
      <w:numFmt w:val="bullet"/>
      <w:lvlText w:val="-"/>
      <w:lvlJc w:val="left"/>
      <w:pPr>
        <w:ind w:left="1520" w:hanging="360"/>
      </w:pPr>
      <w:rPr>
        <w:rFonts w:ascii="Times New Roman" w:eastAsia="BatangChe" w:hAnsi="Times New Roman"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2D"/>
    <w:rsid w:val="000137B8"/>
    <w:rsid w:val="00020BE3"/>
    <w:rsid w:val="0004273D"/>
    <w:rsid w:val="00093360"/>
    <w:rsid w:val="000A4A4F"/>
    <w:rsid w:val="001140E2"/>
    <w:rsid w:val="0011500E"/>
    <w:rsid w:val="0011513D"/>
    <w:rsid w:val="00135320"/>
    <w:rsid w:val="00153009"/>
    <w:rsid w:val="00160491"/>
    <w:rsid w:val="00192F18"/>
    <w:rsid w:val="001B12C2"/>
    <w:rsid w:val="001B18D3"/>
    <w:rsid w:val="001B4A8C"/>
    <w:rsid w:val="001D1840"/>
    <w:rsid w:val="001E4523"/>
    <w:rsid w:val="001F546D"/>
    <w:rsid w:val="00202F4A"/>
    <w:rsid w:val="0023658F"/>
    <w:rsid w:val="002372D4"/>
    <w:rsid w:val="00286109"/>
    <w:rsid w:val="002A3AC0"/>
    <w:rsid w:val="002A61CF"/>
    <w:rsid w:val="002D5305"/>
    <w:rsid w:val="003144CD"/>
    <w:rsid w:val="00333D41"/>
    <w:rsid w:val="003812C3"/>
    <w:rsid w:val="003959D5"/>
    <w:rsid w:val="003A5814"/>
    <w:rsid w:val="003B210A"/>
    <w:rsid w:val="003C3583"/>
    <w:rsid w:val="0040280D"/>
    <w:rsid w:val="00421ED4"/>
    <w:rsid w:val="0043068A"/>
    <w:rsid w:val="00430FDF"/>
    <w:rsid w:val="004312F2"/>
    <w:rsid w:val="004367C7"/>
    <w:rsid w:val="004470FE"/>
    <w:rsid w:val="00451569"/>
    <w:rsid w:val="00455ADF"/>
    <w:rsid w:val="004721C2"/>
    <w:rsid w:val="004A49E1"/>
    <w:rsid w:val="004D7A15"/>
    <w:rsid w:val="004F0D63"/>
    <w:rsid w:val="00513128"/>
    <w:rsid w:val="00531C6E"/>
    <w:rsid w:val="00550676"/>
    <w:rsid w:val="00567F5F"/>
    <w:rsid w:val="005802CC"/>
    <w:rsid w:val="005D14AA"/>
    <w:rsid w:val="005E0E25"/>
    <w:rsid w:val="005F4AE5"/>
    <w:rsid w:val="005F5DB5"/>
    <w:rsid w:val="006066DC"/>
    <w:rsid w:val="006B3F98"/>
    <w:rsid w:val="006D4891"/>
    <w:rsid w:val="007351A3"/>
    <w:rsid w:val="007377C5"/>
    <w:rsid w:val="00793331"/>
    <w:rsid w:val="007F36BE"/>
    <w:rsid w:val="008718F0"/>
    <w:rsid w:val="00897C69"/>
    <w:rsid w:val="008A6EAC"/>
    <w:rsid w:val="008E0787"/>
    <w:rsid w:val="00927685"/>
    <w:rsid w:val="0095112D"/>
    <w:rsid w:val="00974B9F"/>
    <w:rsid w:val="0098596A"/>
    <w:rsid w:val="009905B8"/>
    <w:rsid w:val="009920BC"/>
    <w:rsid w:val="009C11F5"/>
    <w:rsid w:val="009F4766"/>
    <w:rsid w:val="00A573D7"/>
    <w:rsid w:val="00AC696E"/>
    <w:rsid w:val="00B47ABD"/>
    <w:rsid w:val="00B5385D"/>
    <w:rsid w:val="00B55104"/>
    <w:rsid w:val="00B809AE"/>
    <w:rsid w:val="00B85E98"/>
    <w:rsid w:val="00B91CC2"/>
    <w:rsid w:val="00BA3AC1"/>
    <w:rsid w:val="00BC4BA6"/>
    <w:rsid w:val="00BC5120"/>
    <w:rsid w:val="00BC5B34"/>
    <w:rsid w:val="00BD41BC"/>
    <w:rsid w:val="00C10A26"/>
    <w:rsid w:val="00C14282"/>
    <w:rsid w:val="00C21AAB"/>
    <w:rsid w:val="00C33E01"/>
    <w:rsid w:val="00C422C3"/>
    <w:rsid w:val="00C63891"/>
    <w:rsid w:val="00CA45B4"/>
    <w:rsid w:val="00CA6507"/>
    <w:rsid w:val="00CE1A3C"/>
    <w:rsid w:val="00D04C66"/>
    <w:rsid w:val="00D77897"/>
    <w:rsid w:val="00D80F55"/>
    <w:rsid w:val="00DA5A07"/>
    <w:rsid w:val="00DB76BE"/>
    <w:rsid w:val="00DC515F"/>
    <w:rsid w:val="00DD19AC"/>
    <w:rsid w:val="00DD33D8"/>
    <w:rsid w:val="00DD733D"/>
    <w:rsid w:val="00DE43FB"/>
    <w:rsid w:val="00E06334"/>
    <w:rsid w:val="00E1632D"/>
    <w:rsid w:val="00E269B3"/>
    <w:rsid w:val="00E36968"/>
    <w:rsid w:val="00E454D3"/>
    <w:rsid w:val="00E71ECF"/>
    <w:rsid w:val="00E72975"/>
    <w:rsid w:val="00E766AC"/>
    <w:rsid w:val="00EA0EF4"/>
    <w:rsid w:val="00EA256C"/>
    <w:rsid w:val="00EE211A"/>
    <w:rsid w:val="00EE7F93"/>
    <w:rsid w:val="00F8158E"/>
    <w:rsid w:val="00F8432E"/>
    <w:rsid w:val="00F9766D"/>
    <w:rsid w:val="00FA1D8C"/>
    <w:rsid w:val="00FB530C"/>
    <w:rsid w:val="00FB55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6741"/>
  <w15:docId w15:val="{C155B39C-5756-437B-8F31-CEECC4163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A51"/>
    <w:rPr>
      <w:rFonts w:eastAsia="Times New Roman"/>
    </w:rPr>
  </w:style>
  <w:style w:type="paragraph" w:styleId="Heading1">
    <w:name w:val="heading 1"/>
    <w:next w:val="Normal"/>
    <w:uiPriority w:val="9"/>
    <w:qFormat/>
    <w:rsid w:val="00963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uiPriority w:val="9"/>
    <w:semiHidden/>
    <w:unhideWhenUsed/>
    <w:qFormat/>
    <w:rsid w:val="00963681"/>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rsid w:val="00963681"/>
    <w:pPr>
      <w:spacing w:before="120"/>
      <w:outlineLvl w:val="2"/>
    </w:pPr>
    <w:rPr>
      <w:sz w:val="28"/>
    </w:rPr>
  </w:style>
  <w:style w:type="paragraph" w:styleId="Heading4">
    <w:name w:val="heading 4"/>
    <w:basedOn w:val="Heading3"/>
    <w:next w:val="Normal"/>
    <w:uiPriority w:val="9"/>
    <w:semiHidden/>
    <w:unhideWhenUsed/>
    <w:qFormat/>
    <w:rsid w:val="00963681"/>
    <w:pPr>
      <w:ind w:left="1418" w:hanging="1418"/>
      <w:outlineLvl w:val="3"/>
    </w:pPr>
    <w:rPr>
      <w:sz w:val="24"/>
    </w:rPr>
  </w:style>
  <w:style w:type="paragraph" w:styleId="Heading5">
    <w:name w:val="heading 5"/>
    <w:basedOn w:val="Heading4"/>
    <w:next w:val="Normal"/>
    <w:uiPriority w:val="9"/>
    <w:semiHidden/>
    <w:unhideWhenUsed/>
    <w:qFormat/>
    <w:rsid w:val="00857DB4"/>
    <w:pPr>
      <w:spacing w:before="240"/>
      <w:ind w:left="360" w:hanging="360"/>
      <w:outlineLvl w:val="4"/>
    </w:pPr>
    <w:rPr>
      <w:b/>
      <w:bCs/>
      <w:spacing w:val="1"/>
      <w:sz w:val="20"/>
      <w:szCs w:val="20"/>
      <w:lang w:val="en-US"/>
    </w:rPr>
  </w:style>
  <w:style w:type="paragraph" w:styleId="Heading6">
    <w:name w:val="heading 6"/>
    <w:basedOn w:val="H6"/>
    <w:next w:val="Normal"/>
    <w:uiPriority w:val="9"/>
    <w:semiHidden/>
    <w:unhideWhenUsed/>
    <w:qFormat/>
    <w:rsid w:val="00963681"/>
    <w:pPr>
      <w:outlineLvl w:val="5"/>
    </w:pPr>
  </w:style>
  <w:style w:type="paragraph" w:styleId="Heading7">
    <w:name w:val="heading 7"/>
    <w:basedOn w:val="H6"/>
    <w:next w:val="Normal"/>
    <w:qFormat/>
    <w:rsid w:val="00963681"/>
    <w:pPr>
      <w:outlineLvl w:val="6"/>
    </w:pPr>
  </w:style>
  <w:style w:type="paragraph" w:styleId="Heading8">
    <w:name w:val="heading 8"/>
    <w:basedOn w:val="Heading1"/>
    <w:next w:val="Normal"/>
    <w:qFormat/>
    <w:rsid w:val="00963681"/>
    <w:pPr>
      <w:ind w:left="0" w:firstLine="0"/>
      <w:outlineLvl w:val="7"/>
    </w:pPr>
  </w:style>
  <w:style w:type="paragraph" w:styleId="Heading9">
    <w:name w:val="heading 9"/>
    <w:basedOn w:val="Heading8"/>
    <w:next w:val="Normal"/>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AL">
    <w:name w:val="TAL"/>
    <w:basedOn w:val="Normal"/>
    <w:rsid w:val="00963681"/>
    <w:pPr>
      <w:keepNext/>
      <w:keepLines/>
    </w:pPr>
    <w:rPr>
      <w:rFonts w:ascii="Arial" w:hAnsi="Arial"/>
      <w:sz w:val="18"/>
    </w:rPr>
  </w:style>
  <w:style w:type="paragraph" w:styleId="BodyText">
    <w:name w:val="Body Text"/>
    <w:basedOn w:val="Normal"/>
    <w:rsid w:val="00963681"/>
    <w:pPr>
      <w:widowControl w:val="0"/>
    </w:pPr>
    <w:rPr>
      <w:i/>
    </w:rPr>
  </w:style>
  <w:style w:type="paragraph" w:styleId="Header">
    <w:name w:val="header"/>
    <w:rsid w:val="0096368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semiHidden/>
    <w:rsid w:val="00963681"/>
  </w:style>
  <w:style w:type="paragraph" w:styleId="CommentSubject">
    <w:name w:val="annotation subject"/>
    <w:basedOn w:val="CommentText"/>
    <w:next w:val="CommentText"/>
    <w:semiHidden/>
    <w:rsid w:val="00963681"/>
    <w:rPr>
      <w:b/>
      <w:bCs/>
    </w:rPr>
  </w:style>
  <w:style w:type="paragraph" w:customStyle="1" w:styleId="CRCoverPage">
    <w:name w:val="CR Cover Page"/>
    <w:rsid w:val="00963681"/>
    <w:pPr>
      <w:spacing w:after="120"/>
    </w:pPr>
    <w:rPr>
      <w:rFonts w:ascii="Arial" w:hAnsi="Arial"/>
      <w:lang w:val="en-GB" w:eastAsia="en-US"/>
    </w:rPr>
  </w:style>
  <w:style w:type="character" w:styleId="Hyperlink">
    <w:name w:val="Hyperlink"/>
    <w:rsid w:val="00963681"/>
    <w:rPr>
      <w:color w:val="0000FF"/>
      <w:u w:val="single"/>
    </w:rPr>
  </w:style>
  <w:style w:type="paragraph" w:styleId="EndnoteText">
    <w:name w:val="endnote text"/>
    <w:basedOn w:val="Normal"/>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semiHidden/>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63681"/>
    <w:pPr>
      <w:ind w:left="1701" w:hanging="1701"/>
    </w:pPr>
  </w:style>
  <w:style w:type="paragraph" w:styleId="TOC4">
    <w:name w:val="toc 4"/>
    <w:basedOn w:val="TOC3"/>
    <w:semiHidden/>
    <w:rsid w:val="00963681"/>
    <w:pPr>
      <w:ind w:left="1418" w:hanging="1418"/>
    </w:pPr>
  </w:style>
  <w:style w:type="paragraph" w:styleId="TOC3">
    <w:name w:val="toc 3"/>
    <w:basedOn w:val="TOC2"/>
    <w:semiHidden/>
    <w:rsid w:val="00963681"/>
    <w:pPr>
      <w:ind w:left="1134" w:hanging="1134"/>
    </w:pPr>
  </w:style>
  <w:style w:type="paragraph" w:styleId="TOC2">
    <w:name w:val="toc 2"/>
    <w:basedOn w:val="TOC1"/>
    <w:semiHidden/>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basedOn w:val="TableNormal"/>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63681"/>
    <w:rPr>
      <w:b/>
      <w:bCs/>
    </w:r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rPr>
      <w:sz w:val="20"/>
      <w:szCs w:val="20"/>
    </w:r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BD638B"/>
    <w:pPr>
      <w:ind w:left="720"/>
      <w:contextualSpacing/>
    </w:pPr>
  </w:style>
  <w:style w:type="paragraph" w:styleId="Revision">
    <w:name w:val="Revision"/>
    <w:hidden/>
    <w:uiPriority w:val="99"/>
    <w:semiHidden/>
    <w:rsid w:val="006B7ABF"/>
    <w:rPr>
      <w:rFonts w:eastAsia="Times New Roman"/>
    </w:r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5999">
      <w:bodyDiv w:val="1"/>
      <w:marLeft w:val="0"/>
      <w:marRight w:val="0"/>
      <w:marTop w:val="0"/>
      <w:marBottom w:val="0"/>
      <w:divBdr>
        <w:top w:val="none" w:sz="0" w:space="0" w:color="auto"/>
        <w:left w:val="none" w:sz="0" w:space="0" w:color="auto"/>
        <w:bottom w:val="none" w:sz="0" w:space="0" w:color="auto"/>
        <w:right w:val="none" w:sz="0" w:space="0" w:color="auto"/>
      </w:divBdr>
    </w:div>
    <w:div w:id="197663635">
      <w:bodyDiv w:val="1"/>
      <w:marLeft w:val="0"/>
      <w:marRight w:val="0"/>
      <w:marTop w:val="0"/>
      <w:marBottom w:val="0"/>
      <w:divBdr>
        <w:top w:val="none" w:sz="0" w:space="0" w:color="auto"/>
        <w:left w:val="none" w:sz="0" w:space="0" w:color="auto"/>
        <w:bottom w:val="none" w:sz="0" w:space="0" w:color="auto"/>
        <w:right w:val="none" w:sz="0" w:space="0" w:color="auto"/>
      </w:divBdr>
    </w:div>
    <w:div w:id="243150895">
      <w:bodyDiv w:val="1"/>
      <w:marLeft w:val="0"/>
      <w:marRight w:val="0"/>
      <w:marTop w:val="0"/>
      <w:marBottom w:val="0"/>
      <w:divBdr>
        <w:top w:val="none" w:sz="0" w:space="0" w:color="auto"/>
        <w:left w:val="none" w:sz="0" w:space="0" w:color="auto"/>
        <w:bottom w:val="none" w:sz="0" w:space="0" w:color="auto"/>
        <w:right w:val="none" w:sz="0" w:space="0" w:color="auto"/>
      </w:divBdr>
    </w:div>
    <w:div w:id="1433890665">
      <w:bodyDiv w:val="1"/>
      <w:marLeft w:val="0"/>
      <w:marRight w:val="0"/>
      <w:marTop w:val="0"/>
      <w:marBottom w:val="0"/>
      <w:divBdr>
        <w:top w:val="none" w:sz="0" w:space="0" w:color="auto"/>
        <w:left w:val="none" w:sz="0" w:space="0" w:color="auto"/>
        <w:bottom w:val="none" w:sz="0" w:space="0" w:color="auto"/>
        <w:right w:val="none" w:sz="0" w:space="0" w:color="auto"/>
      </w:divBdr>
      <w:divsChild>
        <w:div w:id="1350717134">
          <w:marLeft w:val="0"/>
          <w:marRight w:val="0"/>
          <w:marTop w:val="0"/>
          <w:marBottom w:val="0"/>
          <w:divBdr>
            <w:top w:val="none" w:sz="0" w:space="0" w:color="auto"/>
            <w:left w:val="none" w:sz="0" w:space="0" w:color="auto"/>
            <w:bottom w:val="none" w:sz="0" w:space="0" w:color="auto"/>
            <w:right w:val="none" w:sz="0" w:space="0" w:color="auto"/>
          </w:divBdr>
          <w:divsChild>
            <w:div w:id="1964266133">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510296551">
      <w:bodyDiv w:val="1"/>
      <w:marLeft w:val="0"/>
      <w:marRight w:val="0"/>
      <w:marTop w:val="0"/>
      <w:marBottom w:val="0"/>
      <w:divBdr>
        <w:top w:val="none" w:sz="0" w:space="0" w:color="auto"/>
        <w:left w:val="none" w:sz="0" w:space="0" w:color="auto"/>
        <w:bottom w:val="none" w:sz="0" w:space="0" w:color="auto"/>
        <w:right w:val="none" w:sz="0" w:space="0" w:color="auto"/>
      </w:divBdr>
      <w:divsChild>
        <w:div w:id="79180009">
          <w:marLeft w:val="0"/>
          <w:marRight w:val="0"/>
          <w:marTop w:val="0"/>
          <w:marBottom w:val="0"/>
          <w:divBdr>
            <w:top w:val="none" w:sz="0" w:space="0" w:color="auto"/>
            <w:left w:val="none" w:sz="0" w:space="0" w:color="auto"/>
            <w:bottom w:val="none" w:sz="0" w:space="0" w:color="auto"/>
            <w:right w:val="none" w:sz="0" w:space="0" w:color="auto"/>
          </w:divBdr>
        </w:div>
        <w:div w:id="1901820265">
          <w:marLeft w:val="0"/>
          <w:marRight w:val="0"/>
          <w:marTop w:val="0"/>
          <w:marBottom w:val="0"/>
          <w:divBdr>
            <w:top w:val="none" w:sz="0" w:space="0" w:color="auto"/>
            <w:left w:val="none" w:sz="0" w:space="0" w:color="auto"/>
            <w:bottom w:val="none" w:sz="0" w:space="0" w:color="auto"/>
            <w:right w:val="none" w:sz="0" w:space="0" w:color="auto"/>
          </w:divBdr>
        </w:div>
      </w:divsChild>
    </w:div>
    <w:div w:id="1539967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lK1i3BFfnwBlD6t+hcFWUk1fB+w==">AMUW2mU9LM9qYd/njtqd6seVuIdbDQ+MN542/75qRvk5ERYCWqMWOMYcy5j3Ga2WZrQasZUbS40XOqmXyuUTSIcC6FxS7++2T3kkb0/PwVH2+zrn8t47Lb2XzHjiAuhSg4W6pqdqy5EEYr0JZmxBi5w7CtWHjtX292EIrYuLhu08gwlASqlXZVg=</go:docsCustomData>
</go:gDocsCustomXmlDataStorage>
</file>

<file path=customXml/itemProps1.xml><?xml version="1.0" encoding="utf-8"?>
<ds:datastoreItem xmlns:ds="http://schemas.openxmlformats.org/officeDocument/2006/customXml" ds:itemID="{C8E936A2-05A4-4AA4-9807-4325ACB3771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Nam Jonggil</cp:lastModifiedBy>
  <cp:revision>20</cp:revision>
  <dcterms:created xsi:type="dcterms:W3CDTF">2022-01-10T07:11:00Z</dcterms:created>
  <dcterms:modified xsi:type="dcterms:W3CDTF">2022-01-10T23:37:00Z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